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EFE" w:rsidRDefault="00784331" w:rsidP="00134EFE">
      <w:pPr>
        <w:spacing w:after="120"/>
      </w:pPr>
      <w:bookmarkStart w:id="0" w:name="_GoBack"/>
      <w:bookmarkEnd w:id="0"/>
      <w:r w:rsidRPr="0059433B">
        <w:t>OAP-II.420.12.2.2022</w:t>
      </w:r>
      <w:r w:rsidR="00A71FC1">
        <w:tab/>
      </w:r>
      <w:r w:rsidR="00A71FC1">
        <w:tab/>
      </w:r>
      <w:r w:rsidR="00A71FC1">
        <w:tab/>
      </w:r>
      <w:r w:rsidR="00A71FC1">
        <w:tab/>
      </w:r>
      <w:r w:rsidR="00A71FC1">
        <w:tab/>
      </w:r>
      <w:r w:rsidR="00A71FC1">
        <w:tab/>
      </w:r>
      <w:r w:rsidR="009D4C0E">
        <w:t xml:space="preserve">       </w:t>
      </w:r>
      <w:r w:rsidR="00A71FC1">
        <w:t xml:space="preserve">Kraków, dnia </w:t>
      </w:r>
      <w:r w:rsidR="000A36FB">
        <w:t xml:space="preserve"> </w:t>
      </w:r>
      <w:r w:rsidR="00D70A01">
        <w:t xml:space="preserve">11 stycznia </w:t>
      </w:r>
      <w:r w:rsidR="000A36FB">
        <w:t>202</w:t>
      </w:r>
      <w:r>
        <w:t>3</w:t>
      </w:r>
      <w:r w:rsidR="00134EFE">
        <w:t xml:space="preserve"> r.</w:t>
      </w:r>
    </w:p>
    <w:p w:rsidR="00134EFE" w:rsidRDefault="00134EFE" w:rsidP="00134EFE">
      <w:pPr>
        <w:tabs>
          <w:tab w:val="left" w:pos="4820"/>
        </w:tabs>
        <w:spacing w:after="120"/>
        <w:rPr>
          <w:b/>
        </w:rPr>
      </w:pPr>
    </w:p>
    <w:p w:rsidR="00134EFE" w:rsidRDefault="00134EFE" w:rsidP="00134EFE">
      <w:pPr>
        <w:tabs>
          <w:tab w:val="left" w:pos="4820"/>
        </w:tabs>
        <w:spacing w:after="120"/>
        <w:rPr>
          <w:b/>
        </w:rPr>
      </w:pPr>
    </w:p>
    <w:p w:rsidR="00134EFE" w:rsidRDefault="00134EFE" w:rsidP="00134EFE">
      <w:pPr>
        <w:tabs>
          <w:tab w:val="left" w:pos="4820"/>
        </w:tabs>
        <w:spacing w:after="120"/>
        <w:rPr>
          <w:b/>
        </w:rPr>
      </w:pPr>
      <w:r>
        <w:rPr>
          <w:b/>
        </w:rPr>
        <w:tab/>
        <w:t>Państwo</w:t>
      </w:r>
      <w:r>
        <w:rPr>
          <w:b/>
        </w:rPr>
        <w:br/>
      </w:r>
      <w:r>
        <w:rPr>
          <w:b/>
        </w:rPr>
        <w:tab/>
        <w:t>Patroni koordynatorzy</w:t>
      </w:r>
      <w:r>
        <w:rPr>
          <w:b/>
        </w:rPr>
        <w:br/>
      </w:r>
      <w:r>
        <w:rPr>
          <w:b/>
        </w:rPr>
        <w:tab/>
        <w:t>oraz Patroni praktyk</w:t>
      </w:r>
      <w:r>
        <w:rPr>
          <w:b/>
        </w:rPr>
        <w:br/>
      </w:r>
      <w:r>
        <w:rPr>
          <w:b/>
        </w:rPr>
        <w:tab/>
        <w:t>aplikantów aplikacji prokuratorskiej</w:t>
      </w:r>
    </w:p>
    <w:p w:rsidR="00134EFE" w:rsidRDefault="00134EFE" w:rsidP="00134EFE">
      <w:pPr>
        <w:spacing w:after="120"/>
        <w:ind w:left="4248"/>
        <w:rPr>
          <w:b/>
        </w:rPr>
      </w:pPr>
    </w:p>
    <w:p w:rsidR="00134EFE" w:rsidRDefault="00134EFE" w:rsidP="00134EFE">
      <w:pPr>
        <w:spacing w:after="120"/>
        <w:jc w:val="both"/>
        <w:rPr>
          <w:b/>
          <w:i/>
        </w:rPr>
      </w:pPr>
    </w:p>
    <w:p w:rsidR="00134EFE" w:rsidRDefault="00A71FC1" w:rsidP="00134EFE">
      <w:pPr>
        <w:spacing w:after="120"/>
      </w:pPr>
      <w:r>
        <w:rPr>
          <w:b/>
          <w:i/>
        </w:rPr>
        <w:t>Dotyczy praktyk aplikantów XI</w:t>
      </w:r>
      <w:r w:rsidR="00A841EC">
        <w:rPr>
          <w:b/>
          <w:i/>
        </w:rPr>
        <w:t xml:space="preserve">V </w:t>
      </w:r>
      <w:r w:rsidR="00134EFE">
        <w:rPr>
          <w:b/>
          <w:i/>
        </w:rPr>
        <w:t xml:space="preserve">rocznika </w:t>
      </w:r>
      <w:r>
        <w:rPr>
          <w:b/>
          <w:i/>
        </w:rPr>
        <w:t>aplikacji prokuratorskiej po 2</w:t>
      </w:r>
      <w:r w:rsidR="00A841EC">
        <w:rPr>
          <w:b/>
          <w:i/>
        </w:rPr>
        <w:t>.</w:t>
      </w:r>
      <w:r>
        <w:rPr>
          <w:b/>
          <w:i/>
        </w:rPr>
        <w:t xml:space="preserve"> </w:t>
      </w:r>
      <w:r w:rsidR="00134EFE">
        <w:rPr>
          <w:b/>
          <w:i/>
        </w:rPr>
        <w:t>zjeździe</w:t>
      </w:r>
    </w:p>
    <w:p w:rsidR="00134EFE" w:rsidRDefault="00134EFE" w:rsidP="00134EFE">
      <w:pPr>
        <w:spacing w:after="120"/>
        <w:jc w:val="both"/>
      </w:pPr>
    </w:p>
    <w:p w:rsidR="00134EFE" w:rsidRDefault="00134EFE" w:rsidP="00D60E2C">
      <w:pPr>
        <w:spacing w:after="120"/>
        <w:ind w:firstLine="708"/>
        <w:jc w:val="both"/>
      </w:pPr>
      <w:r>
        <w:t xml:space="preserve">W oparciu o § 2, 9 i 10 zarządzenia Dyrektora Krajowej Szkoły Sądownictwa i 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</w:t>
      </w:r>
      <w:r w:rsidR="00A71FC1">
        <w:t xml:space="preserve">prokuratorskiej, odbywanych </w:t>
      </w:r>
      <w:r w:rsidR="00A71FC1" w:rsidRPr="00A71FC1">
        <w:rPr>
          <w:b/>
        </w:rPr>
        <w:t xml:space="preserve">od </w:t>
      </w:r>
      <w:r w:rsidR="00A841EC">
        <w:rPr>
          <w:b/>
        </w:rPr>
        <w:t>6 do 24 marca</w:t>
      </w:r>
      <w:r w:rsidRPr="00A71FC1">
        <w:rPr>
          <w:b/>
        </w:rPr>
        <w:t xml:space="preserve"> 202</w:t>
      </w:r>
      <w:r w:rsidR="00112B67">
        <w:rPr>
          <w:b/>
        </w:rPr>
        <w:t xml:space="preserve">3 </w:t>
      </w:r>
      <w:r w:rsidRPr="00A71FC1">
        <w:rPr>
          <w:b/>
        </w:rPr>
        <w:t xml:space="preserve">r. </w:t>
      </w:r>
      <w:r>
        <w:t xml:space="preserve">w prokuraturach rejonowych. </w:t>
      </w:r>
    </w:p>
    <w:p w:rsidR="00134EFE" w:rsidRDefault="00A71FC1" w:rsidP="00A71FC1">
      <w:pPr>
        <w:spacing w:after="120"/>
        <w:ind w:firstLine="708"/>
        <w:jc w:val="both"/>
      </w:pPr>
      <w:r>
        <w:t>Przedmiotem 2</w:t>
      </w:r>
      <w:r w:rsidR="00134EFE">
        <w:t xml:space="preserve"> zjazdu apli</w:t>
      </w:r>
      <w:r>
        <w:t>kacji prokuratorskiej, który odbędzie się  od 2</w:t>
      </w:r>
      <w:r w:rsidR="00A841EC">
        <w:t>7</w:t>
      </w:r>
      <w:r>
        <w:t xml:space="preserve"> lutego do </w:t>
      </w:r>
      <w:r w:rsidR="00A841EC">
        <w:t>3</w:t>
      </w:r>
      <w:r>
        <w:t xml:space="preserve"> marca 202</w:t>
      </w:r>
      <w:r w:rsidR="00A841EC">
        <w:t>3</w:t>
      </w:r>
      <w:r>
        <w:t> r. będzie</w:t>
      </w:r>
      <w:r w:rsidR="00134EFE">
        <w:t>:</w:t>
      </w:r>
    </w:p>
    <w:p w:rsidR="00134EFE" w:rsidRPr="00A71FC1" w:rsidRDefault="00134EFE" w:rsidP="00A71FC1">
      <w:pPr>
        <w:numPr>
          <w:ilvl w:val="0"/>
          <w:numId w:val="4"/>
        </w:numPr>
        <w:spacing w:after="120"/>
        <w:jc w:val="both"/>
        <w:rPr>
          <w:u w:val="single"/>
        </w:rPr>
      </w:pPr>
      <w:r w:rsidRPr="00A71FC1">
        <w:rPr>
          <w:u w:val="single"/>
        </w:rPr>
        <w:t>Prawo konstytucyjne</w:t>
      </w:r>
    </w:p>
    <w:p w:rsidR="00134EFE" w:rsidRDefault="00134EFE" w:rsidP="00A71FC1">
      <w:pPr>
        <w:spacing w:after="120"/>
        <w:jc w:val="both"/>
      </w:pPr>
      <w:r>
        <w:t xml:space="preserve">            Ustrój RP i jej organy, zasady i gwarancje konstytucyjne, źródła prawa i ich </w:t>
      </w:r>
    </w:p>
    <w:p w:rsidR="00134EFE" w:rsidRDefault="00134EFE" w:rsidP="00A71FC1">
      <w:pPr>
        <w:spacing w:after="120"/>
        <w:jc w:val="both"/>
      </w:pPr>
      <w:r>
        <w:t xml:space="preserve">            hierarchia, kontrola konstytucyjności aktów prawnych, konstytucyjne aspekty </w:t>
      </w:r>
    </w:p>
    <w:p w:rsidR="00134EFE" w:rsidRDefault="00134EFE" w:rsidP="00A71FC1">
      <w:pPr>
        <w:spacing w:after="120"/>
        <w:jc w:val="both"/>
      </w:pPr>
      <w:r>
        <w:t xml:space="preserve">            członkostwa w Unii Europejskiej.</w:t>
      </w:r>
    </w:p>
    <w:p w:rsidR="00134EFE" w:rsidRDefault="00134EFE" w:rsidP="00A71FC1">
      <w:pPr>
        <w:numPr>
          <w:ilvl w:val="0"/>
          <w:numId w:val="4"/>
        </w:numPr>
        <w:spacing w:after="120"/>
        <w:jc w:val="both"/>
      </w:pPr>
      <w:r w:rsidRPr="00A71FC1">
        <w:rPr>
          <w:u w:val="single"/>
        </w:rPr>
        <w:t>Prawo karne materialne</w:t>
      </w:r>
      <w:r>
        <w:t xml:space="preserve">. </w:t>
      </w:r>
    </w:p>
    <w:p w:rsidR="00134EFE" w:rsidRDefault="00134EFE" w:rsidP="00A71FC1">
      <w:pPr>
        <w:spacing w:after="120"/>
        <w:jc w:val="both"/>
      </w:pPr>
      <w:r>
        <w:t xml:space="preserve">            Obowiązywanie ustawy karnej pod względem czasu, miejsca i obywatelstwa sprawcy.</w:t>
      </w:r>
    </w:p>
    <w:p w:rsidR="00134EFE" w:rsidRDefault="00134EFE" w:rsidP="00A71FC1">
      <w:pPr>
        <w:numPr>
          <w:ilvl w:val="0"/>
          <w:numId w:val="4"/>
        </w:numPr>
        <w:spacing w:after="120"/>
        <w:jc w:val="both"/>
      </w:pPr>
      <w:r w:rsidRPr="00A71FC1">
        <w:rPr>
          <w:u w:val="single"/>
        </w:rPr>
        <w:t>Prawo karne procesowe</w:t>
      </w:r>
      <w:r>
        <w:t xml:space="preserve">. </w:t>
      </w:r>
    </w:p>
    <w:p w:rsidR="00134EFE" w:rsidRDefault="00134EFE" w:rsidP="00A71FC1">
      <w:pPr>
        <w:spacing w:after="120"/>
        <w:jc w:val="both"/>
      </w:pPr>
      <w:r>
        <w:t xml:space="preserve">            Zawiadomienie o przestępstwie i reakcja na to zawiadomienie.</w:t>
      </w:r>
    </w:p>
    <w:p w:rsidR="00134EFE" w:rsidRDefault="00134EFE" w:rsidP="00D60E2C">
      <w:pPr>
        <w:spacing w:after="120"/>
        <w:jc w:val="both"/>
      </w:pPr>
      <w:r>
        <w:t xml:space="preserve">            Omówienie różnego rodzaju zawiadomień, a w szczególności: indywidualnych,</w:t>
      </w:r>
    </w:p>
    <w:p w:rsidR="00134EFE" w:rsidRDefault="00134EFE" w:rsidP="00D60E2C">
      <w:pPr>
        <w:spacing w:after="120"/>
        <w:jc w:val="both"/>
      </w:pPr>
      <w:r>
        <w:t xml:space="preserve">             pochodzących od osób fizycznych (przyjęcie ustnego zawiadomienia o przestępstwie</w:t>
      </w:r>
    </w:p>
    <w:p w:rsidR="00134EFE" w:rsidRDefault="00134EFE" w:rsidP="00D60E2C">
      <w:pPr>
        <w:spacing w:after="120"/>
        <w:jc w:val="both"/>
      </w:pPr>
      <w:r>
        <w:t xml:space="preserve">             w formie protokołu, pisemne zawiadomienie), zawiadomienie organu kontrolnego</w:t>
      </w:r>
    </w:p>
    <w:p w:rsidR="00A841EC" w:rsidRDefault="00134EFE" w:rsidP="00D60E2C">
      <w:pPr>
        <w:spacing w:after="120"/>
        <w:jc w:val="both"/>
      </w:pPr>
      <w:r>
        <w:t xml:space="preserve">             (np. NIK, GIIF) oraz </w:t>
      </w:r>
      <w:r w:rsidR="00A71FC1">
        <w:t xml:space="preserve">zawiadomień </w:t>
      </w:r>
      <w:r>
        <w:t xml:space="preserve">anonimowych. Reakcja na informacje o przestępstwie </w:t>
      </w:r>
    </w:p>
    <w:p w:rsidR="00134EFE" w:rsidRDefault="00A841EC" w:rsidP="00D60E2C">
      <w:pPr>
        <w:spacing w:after="120"/>
        <w:jc w:val="both"/>
      </w:pPr>
      <w:r>
        <w:t xml:space="preserve">             z</w:t>
      </w:r>
      <w:r w:rsidR="00134EFE">
        <w:t>awarte</w:t>
      </w:r>
      <w:r>
        <w:t xml:space="preserve"> </w:t>
      </w:r>
      <w:r w:rsidR="00134EFE">
        <w:t>w przekazach medialnych, dane zawarte w aktach innych spraw i w materiałach</w:t>
      </w:r>
    </w:p>
    <w:p w:rsidR="00134EFE" w:rsidRDefault="00134EFE" w:rsidP="00D60E2C">
      <w:pPr>
        <w:spacing w:after="120"/>
        <w:jc w:val="both"/>
      </w:pPr>
      <w:r>
        <w:t xml:space="preserve">             własnych Policji oraz dowody zebrane w trybie art. 308 k.p.k. Nadawanie biegu</w:t>
      </w:r>
    </w:p>
    <w:p w:rsidR="00134EFE" w:rsidRDefault="00134EFE" w:rsidP="00D60E2C">
      <w:pPr>
        <w:spacing w:after="120"/>
        <w:jc w:val="both"/>
      </w:pPr>
      <w:r>
        <w:t xml:space="preserve">          </w:t>
      </w:r>
      <w:r w:rsidR="00A841EC">
        <w:t xml:space="preserve">   </w:t>
      </w:r>
      <w:r>
        <w:t>zawiadomieniom o  przestępstwie wpływającym do prokuratury.</w:t>
      </w:r>
    </w:p>
    <w:p w:rsidR="00134EFE" w:rsidRDefault="00134EFE" w:rsidP="00A71FC1">
      <w:pPr>
        <w:spacing w:after="120"/>
        <w:jc w:val="both"/>
      </w:pPr>
      <w:r>
        <w:lastRenderedPageBreak/>
        <w:t xml:space="preserve">          Postanowienia prokuratora o odmowie wszczęcia i wszczęciu postępowania</w:t>
      </w:r>
    </w:p>
    <w:p w:rsidR="00134EFE" w:rsidRDefault="00134EFE" w:rsidP="00A71FC1">
      <w:pPr>
        <w:spacing w:after="120"/>
        <w:jc w:val="both"/>
      </w:pPr>
      <w:r>
        <w:t xml:space="preserve">          przygotowawczego.</w:t>
      </w:r>
    </w:p>
    <w:p w:rsidR="00134EFE" w:rsidRDefault="00134EFE" w:rsidP="00A71FC1">
      <w:pPr>
        <w:spacing w:after="120"/>
        <w:jc w:val="both"/>
      </w:pPr>
      <w:r>
        <w:t xml:space="preserve">          Ocena przesłanek faktycznych i prawnych. Przeszkody procesowe. Struktura</w:t>
      </w:r>
    </w:p>
    <w:p w:rsidR="00134EFE" w:rsidRDefault="00134EFE" w:rsidP="00A71FC1">
      <w:pPr>
        <w:spacing w:after="120"/>
        <w:jc w:val="both"/>
      </w:pPr>
      <w:r>
        <w:t xml:space="preserve">          uzasadnienia decyzji. Doręczenia i terminy. Inne decyzje prokuratora podejmowane</w:t>
      </w:r>
    </w:p>
    <w:p w:rsidR="00134EFE" w:rsidRDefault="00134EFE" w:rsidP="00A71FC1">
      <w:pPr>
        <w:spacing w:after="120"/>
        <w:jc w:val="both"/>
      </w:pPr>
      <w:r>
        <w:t xml:space="preserve">          w postępowaniu sprawdzającym oraz w postępowaniu w niezbędnym zakresie, w tym </w:t>
      </w:r>
    </w:p>
    <w:p w:rsidR="00134EFE" w:rsidRDefault="00134EFE" w:rsidP="00A71FC1">
      <w:pPr>
        <w:spacing w:after="120"/>
      </w:pPr>
      <w:r>
        <w:t xml:space="preserve">          działania podejmowane dla zapobieżenia naruszeniom prawa (art. 19 § 2 k.p.k.).</w:t>
      </w:r>
    </w:p>
    <w:p w:rsidR="00134EFE" w:rsidRDefault="00134EFE" w:rsidP="00A71FC1">
      <w:pPr>
        <w:numPr>
          <w:ilvl w:val="0"/>
          <w:numId w:val="4"/>
        </w:numPr>
        <w:spacing w:after="120"/>
        <w:jc w:val="both"/>
      </w:pPr>
      <w:r w:rsidRPr="00A71FC1">
        <w:rPr>
          <w:u w:val="single"/>
        </w:rPr>
        <w:t>Kryminalistyka. Zagadnienia taktyki kryminalistycznej</w:t>
      </w:r>
      <w:r>
        <w:t>.</w:t>
      </w:r>
    </w:p>
    <w:p w:rsidR="00134EFE" w:rsidRDefault="00134EFE" w:rsidP="00A71FC1">
      <w:pPr>
        <w:spacing w:after="120"/>
      </w:pPr>
      <w:r>
        <w:t xml:space="preserve">           Planowanie śledztwa lub dochodzenia i organizacja czynności procesowych.</w:t>
      </w:r>
    </w:p>
    <w:p w:rsidR="00134EFE" w:rsidRDefault="00134EFE" w:rsidP="00A71FC1">
      <w:pPr>
        <w:spacing w:after="120"/>
      </w:pPr>
      <w:r>
        <w:t xml:space="preserve">           Analiza materiałów zgromadzonych w postępowaniu przygotowawczym, określenie </w:t>
      </w:r>
    </w:p>
    <w:p w:rsidR="00134EFE" w:rsidRDefault="00134EFE" w:rsidP="00A71FC1">
      <w:pPr>
        <w:spacing w:after="120"/>
      </w:pPr>
      <w:r>
        <w:t xml:space="preserve">           wersji zdarzenia i wynikających stąd kierunków działań oraz wskazanie czynności</w:t>
      </w:r>
    </w:p>
    <w:p w:rsidR="00134EFE" w:rsidRDefault="00134EFE" w:rsidP="00D60E2C">
      <w:pPr>
        <w:spacing w:after="120"/>
        <w:jc w:val="both"/>
      </w:pPr>
      <w:r>
        <w:t xml:space="preserve">           wraz ze sposobem i terminem ich wykonania. Opracowywanie planu śledztwa.</w:t>
      </w:r>
    </w:p>
    <w:p w:rsidR="00134EFE" w:rsidRPr="005D2940" w:rsidRDefault="005D2940" w:rsidP="00A71FC1">
      <w:pPr>
        <w:spacing w:after="120"/>
        <w:ind w:firstLine="708"/>
        <w:jc w:val="both"/>
        <w:rPr>
          <w:b/>
        </w:rPr>
      </w:pPr>
      <w:r w:rsidRPr="005D2940">
        <w:rPr>
          <w:b/>
        </w:rPr>
        <w:t xml:space="preserve">Celem niniejszej praktyki </w:t>
      </w:r>
      <w:r w:rsidR="00134EFE" w:rsidRPr="005D2940">
        <w:rPr>
          <w:b/>
        </w:rPr>
        <w:t xml:space="preserve"> jest nabycie umiejętności sporządzania postanowień o wszczęciu postępowania przygotowawczego i o odmowie jego wszczęcia, a ta</w:t>
      </w:r>
      <w:r>
        <w:rPr>
          <w:b/>
        </w:rPr>
        <w:t xml:space="preserve">kże zaznajomienie </w:t>
      </w:r>
      <w:r w:rsidR="00134EFE" w:rsidRPr="005D2940">
        <w:rPr>
          <w:b/>
        </w:rPr>
        <w:t>z zasadami kwalifikowania zawiadomień o przestępstwie wp</w:t>
      </w:r>
      <w:r>
        <w:rPr>
          <w:b/>
        </w:rPr>
        <w:t>ływających do prokuratury</w:t>
      </w:r>
      <w:r w:rsidR="00134EFE" w:rsidRPr="005D2940">
        <w:rPr>
          <w:b/>
        </w:rPr>
        <w:t xml:space="preserve"> i nadawanie im biegu, w tym udzielania wytycznych.</w:t>
      </w:r>
    </w:p>
    <w:p w:rsidR="00134EFE" w:rsidRDefault="00134EFE" w:rsidP="00134EFE">
      <w:pPr>
        <w:spacing w:after="120"/>
        <w:ind w:firstLine="708"/>
        <w:jc w:val="both"/>
      </w:pPr>
      <w:r>
        <w:t xml:space="preserve">Patroni praktyk winni zatem zadbać, aby aplikanci w pierwszej kolejności mieli możliwość zapoznania się z praktycznymi aspektami pracy prokuratora w zakresie objętym tematyką zjazdu. </w:t>
      </w:r>
    </w:p>
    <w:p w:rsidR="00134EFE" w:rsidRDefault="00134EFE" w:rsidP="00134EFE">
      <w:pPr>
        <w:spacing w:after="120"/>
        <w:ind w:firstLine="708"/>
        <w:jc w:val="both"/>
      </w:pPr>
      <w:r>
        <w:t>Dlatego podczas praktyk aplikanci powinni zapoznać się:</w:t>
      </w:r>
    </w:p>
    <w:p w:rsidR="00134EFE" w:rsidRDefault="00134EFE" w:rsidP="00134EFE">
      <w:pPr>
        <w:spacing w:after="120"/>
        <w:ind w:firstLine="708"/>
        <w:jc w:val="both"/>
      </w:pPr>
      <w:r>
        <w:t>• z aktami spraw prowadzonych, zarówno w formie śledztwa, jak i dochodzenia oraz     wytycznymi ukierunkowującymi postępowanie w różnych kategoriach spraw;</w:t>
      </w:r>
    </w:p>
    <w:p w:rsidR="00134EFE" w:rsidRDefault="00134EFE" w:rsidP="00134EFE">
      <w:pPr>
        <w:spacing w:after="120"/>
        <w:ind w:firstLine="708"/>
        <w:jc w:val="both"/>
      </w:pPr>
      <w:r>
        <w:t>• z procesowymi skutkami, jakie w konkretnych sprawach spowodowało zaniechanie              w odpowiednim czasie właściwego ukierunkowania postępowania przez prokuratora;</w:t>
      </w:r>
    </w:p>
    <w:p w:rsidR="00134EFE" w:rsidRDefault="00134EFE" w:rsidP="00D60E2C">
      <w:pPr>
        <w:spacing w:after="120"/>
        <w:ind w:firstLine="708"/>
        <w:jc w:val="both"/>
      </w:pPr>
      <w:r>
        <w:t>• z metodyką pracy prokuratora – patrona praktyk, a w szczególności z węzłowymi czynnościami wykonywanymi osobiście przez prokuratora w śledztwie polegającymi na przesłuchaniu podejrzanego i świadka, innymi czynnościami własnymi zastrzeżonymi dla prokuratora oraz powierzonymi do przeprowadzenia w całości lub w określonym zakresie innym organom (w tym sporządzaną dokumentacją związaną z przesłuchaniem podejrzanego/świadka w formie protokołu, załącznikami do protokołu oraz stosownymi pisemnymi pouczeniami o uprawnieniach i obowiązkach podejrzanego/świadka, zarządzeniem o powierzeniu przeprowadzenia śledztwa w całości lub w określonym zakresie z zastrzeżeniem czynności wykonywanych osobiście przez prokuratora oraz zarządzeniem o powierzeniu dokonania poszczególnych czynności śledztwa);</w:t>
      </w:r>
    </w:p>
    <w:p w:rsidR="00134EFE" w:rsidRDefault="00134EFE" w:rsidP="00134EFE">
      <w:pPr>
        <w:spacing w:after="120"/>
        <w:ind w:firstLine="708"/>
        <w:jc w:val="both"/>
      </w:pPr>
      <w:r>
        <w:t>• z metodyką prowadzenia tzw. spraw rejestrowych, zakończonych wpisaniem do rejestru przestępstw oraz prowadzonych w trybie art. 308 k.p.k.;</w:t>
      </w:r>
    </w:p>
    <w:p w:rsidR="00134EFE" w:rsidRDefault="00134EFE" w:rsidP="00134EFE">
      <w:pPr>
        <w:spacing w:after="120"/>
        <w:ind w:firstLine="708"/>
        <w:jc w:val="both"/>
      </w:pPr>
      <w:r>
        <w:t>Aplikanci powinni także nabyć umiejętności związane:</w:t>
      </w:r>
    </w:p>
    <w:p w:rsidR="00134EFE" w:rsidRDefault="00134EFE" w:rsidP="00134EFE">
      <w:pPr>
        <w:spacing w:after="120"/>
        <w:ind w:firstLine="708"/>
        <w:jc w:val="both"/>
      </w:pPr>
      <w:r>
        <w:t xml:space="preserve">•  z zasadami kwalifikowania zawiadomień wpływających do prokuratury i nadawania im biegu, w tym udzielania wytycznych (w szczególności związanych z koniecznością weryfikacji informacji w ramach postępowania prowadzonego po wszczęciu śledztwa/dochodzenia); </w:t>
      </w:r>
    </w:p>
    <w:p w:rsidR="00134EFE" w:rsidRDefault="00134EFE" w:rsidP="00134EFE">
      <w:pPr>
        <w:spacing w:after="120"/>
        <w:ind w:firstLine="708"/>
        <w:jc w:val="both"/>
      </w:pPr>
      <w:r>
        <w:lastRenderedPageBreak/>
        <w:t>•  z oceną przesłanek faktycznych i prawnych związanych z wszczęciem postępowania przygotowawczego i nadaniem biegu sprawie;</w:t>
      </w:r>
    </w:p>
    <w:p w:rsidR="00134EFE" w:rsidRDefault="00134EFE" w:rsidP="00134EFE">
      <w:pPr>
        <w:spacing w:after="120"/>
        <w:ind w:firstLine="708"/>
        <w:jc w:val="both"/>
      </w:pPr>
      <w:r>
        <w:t>•  ze sporządzaniem projektów: postanowień o wszczęciu postępowania przygotowawczego (dochodzenia/śledztwa), zarządzeń o powierzeniu innym organom przeprowadzenia śledztwa w całości lub w określonym zakresie albo dokonania poszczególnych czynności śledztwa, które to decyzje powinny zawierać uzasadnienie;</w:t>
      </w:r>
    </w:p>
    <w:p w:rsidR="00134EFE" w:rsidRDefault="00134EFE" w:rsidP="00134EFE">
      <w:pPr>
        <w:spacing w:after="120"/>
        <w:ind w:firstLine="708"/>
        <w:jc w:val="both"/>
      </w:pPr>
      <w:r>
        <w:t>•  ze sporządzaniem projektów wytycznych co do dalszego toku prowadzenia dochodzenia lub powierzonego śledztwa.</w:t>
      </w:r>
    </w:p>
    <w:p w:rsidR="008E589A" w:rsidRPr="00197022" w:rsidRDefault="008E589A" w:rsidP="00197022">
      <w:pPr>
        <w:spacing w:after="120"/>
        <w:ind w:firstLine="708"/>
        <w:jc w:val="both"/>
      </w:pPr>
      <w:r>
        <w:t xml:space="preserve">Szczególnie istotne jest, aby w ramach odbywanej praktyki aplikanci mieli możliwość aktywnego zapoznania się z przebiegiem postępowań sprawdzających, ze szczególnym zwróceniem uwagi na czynności podejmowane w czasie ich trwania oraz terminami ich podejmowania. Ważnym jest, aby aplikanci mieli możliwość uczestniczenia w czynnościach związanych z przyjęciem ustnego zawiadomienia o popełnieniu przestępstwa celem sprawdzenia okoliczności zawartych w zawiadomieniu,  sporządzaniem projektów wytycznych, a także </w:t>
      </w:r>
      <w:r w:rsidRPr="008E589A">
        <w:t xml:space="preserve"> </w:t>
      </w:r>
      <w:r>
        <w:t>podejmowaniem decyzji co do wszczęcia postępowania przygotowawczego, powierzaniem śledztwa w całości lub w określonym zakresie albo powierzaniem dokonania poszcz</w:t>
      </w:r>
      <w:r w:rsidR="00197022">
        <w:t>ególnych czynności śledztwa i</w:t>
      </w:r>
      <w:r>
        <w:t xml:space="preserve"> sporządzaniem projektów wytycznych co do dalszego toku prowadzenia dochod</w:t>
      </w:r>
      <w:r w:rsidR="00197022">
        <w:t xml:space="preserve">zenia lub powierzonego śledztwa. Ważnym jest </w:t>
      </w:r>
      <w:r>
        <w:t>także</w:t>
      </w:r>
      <w:r w:rsidR="00197022">
        <w:t xml:space="preserve">, aby aplikanci w trakcie praktyki opracowywali projekty  </w:t>
      </w:r>
      <w:r>
        <w:rPr>
          <w:bCs/>
          <w:iCs/>
        </w:rPr>
        <w:t>postanowień o wszczęciu lub odmowie wszczęcia postępowania przygotowawczego.</w:t>
      </w:r>
    </w:p>
    <w:p w:rsidR="00134EFE" w:rsidRDefault="00134EFE" w:rsidP="00134EFE">
      <w:pPr>
        <w:spacing w:after="120"/>
        <w:ind w:firstLine="708"/>
        <w:jc w:val="both"/>
      </w:pPr>
    </w:p>
    <w:p w:rsidR="00D66C77" w:rsidRDefault="00134EFE" w:rsidP="00D66C77">
      <w:pPr>
        <w:spacing w:after="120"/>
        <w:ind w:firstLine="708"/>
        <w:jc w:val="both"/>
      </w:pPr>
      <w:r>
        <w:t>Istotnym przy ocenie przez patronów praktyk prac wykonywanych przez aplikantów, zwłaszcza projektów sporządzanych przez nich decyzji, jest zwracanie uwagi nie tylko na merytoryczną trafność i formalną poprawność samego rozstrzygnięcia, ale i rodzaj użytej argumentacji, logikę i poprawność językową. Celem przedmiotowej praktyki jest również wykształcenie u aplikantów aplikacji prokuratorskiej umiejętności właściwej oceny prawnej decyzji podejmowanych w toku postępowania przygotowawczego, obrony własnego stanowiska w sprawie oraz zastosowania prawidłowej argumentacji.</w:t>
      </w:r>
      <w:r w:rsidR="00D66C77" w:rsidRPr="00D66C77">
        <w:t xml:space="preserve"> </w:t>
      </w:r>
      <w:r w:rsidR="00D66C77">
        <w:t>Patroni winni zwracać uwagę nie tylko na merytoryczną trafność i formalną poprawność sporządzanych przez aplikantów pism, ale również na rodzaj użytej argumentacji, logikę i poprawność językową.</w:t>
      </w:r>
    </w:p>
    <w:p w:rsidR="00134EFE" w:rsidRDefault="00134EFE" w:rsidP="00134EFE">
      <w:pPr>
        <w:spacing w:after="120"/>
        <w:ind w:firstLine="708"/>
        <w:jc w:val="both"/>
      </w:pPr>
    </w:p>
    <w:p w:rsidR="00134EFE" w:rsidRDefault="00134EFE" w:rsidP="00134EFE">
      <w:pPr>
        <w:spacing w:after="120"/>
        <w:ind w:firstLine="708"/>
        <w:jc w:val="both"/>
      </w:pPr>
      <w:r>
        <w:t>Powyższe nie wyklucza możliwości powierzania aplikantom również innych</w:t>
      </w:r>
      <w:r w:rsidR="00D66C77">
        <w:t xml:space="preserve"> zadań wynikających z bieżącego</w:t>
      </w:r>
      <w:r>
        <w:t xml:space="preserve"> toku pracy prokuratorskiej, zwłaszcza takich, z którymi dotychczas jeszcze się nie zetknęli lub, w których nie uczestniczyli.</w:t>
      </w:r>
    </w:p>
    <w:p w:rsidR="00134EFE" w:rsidRDefault="00134EFE" w:rsidP="00134EFE">
      <w:pPr>
        <w:spacing w:after="120"/>
        <w:ind w:firstLine="708"/>
        <w:jc w:val="both"/>
      </w:pPr>
    </w:p>
    <w:p w:rsidR="00134EFE" w:rsidRDefault="00134EFE" w:rsidP="00134EFE">
      <w:pPr>
        <w:spacing w:after="120"/>
        <w:ind w:firstLine="708"/>
        <w:jc w:val="both"/>
      </w:pPr>
      <w:r w:rsidRPr="00D66C77">
        <w:rPr>
          <w:b/>
        </w:rPr>
        <w:t xml:space="preserve">Uprzejmie informuję, że przedmiotem sprawdzianu, który aplikanci będą pisać po odbyciu w/w praktyk  (na początku </w:t>
      </w:r>
      <w:r w:rsidR="00D66C77" w:rsidRPr="00D66C77">
        <w:rPr>
          <w:b/>
        </w:rPr>
        <w:t xml:space="preserve">4 </w:t>
      </w:r>
      <w:r w:rsidRPr="00D66C77">
        <w:rPr>
          <w:b/>
        </w:rPr>
        <w:t>zjazdu) będzie sporządzenie – stosownie do dokonanej przez aplikanta oceny przedłożonych mu materiałów – projektu postanowienia o wszczęciu postępowania przygotowawczego, zarządzenia o powierzeniu przeprowadzenia śledztwa oraz wytycznych co do jego dalszego toku albo projektu postanowienia o odmowie wszczęcia dochodzenia lub śledztwa, które to projekty decyzji procesowych powinny zawierać uzasadnienie</w:t>
      </w:r>
      <w:r>
        <w:t xml:space="preserve">. </w:t>
      </w:r>
    </w:p>
    <w:p w:rsidR="00134EFE" w:rsidRDefault="00134EFE" w:rsidP="00134EFE">
      <w:pPr>
        <w:spacing w:after="120"/>
        <w:ind w:firstLine="708"/>
        <w:jc w:val="both"/>
      </w:pPr>
      <w:r>
        <w:lastRenderedPageBreak/>
        <w:t>Dlatego ważnym jest, aby aplikanci podczas praktyk opanowali tę umiejętność w jak najwyższym stopniu.</w:t>
      </w:r>
    </w:p>
    <w:p w:rsidR="00134EFE" w:rsidRDefault="00134EFE" w:rsidP="00134EFE">
      <w:pPr>
        <w:spacing w:after="120"/>
        <w:ind w:firstLine="708"/>
        <w:jc w:val="both"/>
      </w:pPr>
    </w:p>
    <w:p w:rsidR="00134EFE" w:rsidRDefault="00134EFE" w:rsidP="00134EFE">
      <w:pPr>
        <w:spacing w:after="120"/>
        <w:jc w:val="both"/>
      </w:pPr>
    </w:p>
    <w:p w:rsidR="00134EFE" w:rsidRDefault="00134EFE" w:rsidP="00134EFE">
      <w:pPr>
        <w:spacing w:after="120"/>
        <w:jc w:val="center"/>
      </w:pPr>
      <w:r>
        <w:t>Kierownik</w:t>
      </w:r>
    </w:p>
    <w:p w:rsidR="00134EFE" w:rsidRDefault="00134EFE" w:rsidP="00134EFE">
      <w:pPr>
        <w:spacing w:after="120"/>
        <w:jc w:val="center"/>
      </w:pPr>
      <w:r>
        <w:t>Działu Dydaktycznego</w:t>
      </w:r>
    </w:p>
    <w:p w:rsidR="00134EFE" w:rsidRDefault="00134EFE" w:rsidP="00134EFE">
      <w:pPr>
        <w:spacing w:after="120"/>
        <w:jc w:val="center"/>
      </w:pPr>
      <w:r>
        <w:t>Ośrodka Aplikacji Prokuratorskiej</w:t>
      </w:r>
    </w:p>
    <w:p w:rsidR="00134EFE" w:rsidRDefault="00134EFE" w:rsidP="00134EFE">
      <w:pPr>
        <w:spacing w:after="120"/>
        <w:jc w:val="center"/>
      </w:pPr>
      <w:r>
        <w:t>Krajowej Szkoły Sądownictwa i Prokuratury</w:t>
      </w:r>
    </w:p>
    <w:p w:rsidR="00134EFE" w:rsidRDefault="00134EFE" w:rsidP="00134EFE">
      <w:pPr>
        <w:spacing w:after="120"/>
        <w:jc w:val="center"/>
      </w:pPr>
    </w:p>
    <w:p w:rsidR="00134EFE" w:rsidRDefault="00134EFE" w:rsidP="00134EFE">
      <w:pPr>
        <w:spacing w:after="120"/>
        <w:jc w:val="center"/>
      </w:pPr>
      <w:r>
        <w:t>Marta Zin</w:t>
      </w:r>
    </w:p>
    <w:p w:rsidR="00134EFE" w:rsidRDefault="00134EFE" w:rsidP="00134EFE">
      <w:pPr>
        <w:spacing w:after="120"/>
        <w:jc w:val="center"/>
      </w:pPr>
      <w:r>
        <w:t>Prokurator</w:t>
      </w:r>
    </w:p>
    <w:p w:rsidR="000B4076" w:rsidRPr="00C568A4" w:rsidRDefault="000B4076" w:rsidP="00C568A4"/>
    <w:sectPr w:rsidR="000B4076" w:rsidRPr="00C568A4" w:rsidSect="003D14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360" w:rsidRDefault="00892360">
      <w:pPr>
        <w:spacing w:after="0" w:line="240" w:lineRule="auto"/>
      </w:pPr>
      <w:r>
        <w:separator/>
      </w:r>
    </w:p>
  </w:endnote>
  <w:endnote w:type="continuationSeparator" w:id="0">
    <w:p w:rsidR="00892360" w:rsidRDefault="0089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57578">
      <w:rPr>
        <w:noProof/>
      </w:rPr>
      <w:t>4</w:t>
    </w:r>
    <w:r>
      <w:rPr>
        <w:noProof/>
      </w:rPr>
      <w:fldChar w:fldCharType="end"/>
    </w:r>
  </w:p>
  <w:p w:rsidR="001B510F" w:rsidRDefault="00892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892360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892360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360" w:rsidRDefault="00892360">
      <w:pPr>
        <w:spacing w:after="0" w:line="240" w:lineRule="auto"/>
      </w:pPr>
      <w:r>
        <w:separator/>
      </w:r>
    </w:p>
  </w:footnote>
  <w:footnote w:type="continuationSeparator" w:id="0">
    <w:p w:rsidR="00892360" w:rsidRDefault="0089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892360" w:rsidP="003D147B">
    <w:pPr>
      <w:pStyle w:val="Nagwek"/>
      <w:ind w:right="4959"/>
      <w:jc w:val="center"/>
      <w:rPr>
        <w:b/>
      </w:rPr>
    </w:pPr>
  </w:p>
  <w:p w:rsidR="001B510F" w:rsidRPr="009E7ADE" w:rsidRDefault="00892360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892360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E3615"/>
    <w:multiLevelType w:val="hybridMultilevel"/>
    <w:tmpl w:val="F9EC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73"/>
    <w:rsid w:val="000641D1"/>
    <w:rsid w:val="000A36FB"/>
    <w:rsid w:val="000B4076"/>
    <w:rsid w:val="000C7A81"/>
    <w:rsid w:val="00112B67"/>
    <w:rsid w:val="00134EFE"/>
    <w:rsid w:val="00197022"/>
    <w:rsid w:val="002A65DE"/>
    <w:rsid w:val="00313D8C"/>
    <w:rsid w:val="00390E2C"/>
    <w:rsid w:val="00393A3F"/>
    <w:rsid w:val="00435CDB"/>
    <w:rsid w:val="00482F4C"/>
    <w:rsid w:val="005C0FD5"/>
    <w:rsid w:val="005C1373"/>
    <w:rsid w:val="005D2940"/>
    <w:rsid w:val="00765CC8"/>
    <w:rsid w:val="00784331"/>
    <w:rsid w:val="00892360"/>
    <w:rsid w:val="008E589A"/>
    <w:rsid w:val="009508D5"/>
    <w:rsid w:val="009C72D8"/>
    <w:rsid w:val="009D4C0E"/>
    <w:rsid w:val="00A71FC1"/>
    <w:rsid w:val="00A841EC"/>
    <w:rsid w:val="00BC1096"/>
    <w:rsid w:val="00C568A4"/>
    <w:rsid w:val="00D548FE"/>
    <w:rsid w:val="00D57578"/>
    <w:rsid w:val="00D60E2C"/>
    <w:rsid w:val="00D66C77"/>
    <w:rsid w:val="00D70A01"/>
    <w:rsid w:val="00E512BB"/>
    <w:rsid w:val="00ED39E2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531A5-0C8A-4E46-8573-C6D9D149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dcterms:created xsi:type="dcterms:W3CDTF">2023-01-12T06:38:00Z</dcterms:created>
  <dcterms:modified xsi:type="dcterms:W3CDTF">2023-01-12T06:38:00Z</dcterms:modified>
</cp:coreProperties>
</file>