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C1" w:rsidRPr="009E60E1" w:rsidRDefault="009E4BC1" w:rsidP="006C2C02">
      <w:pPr>
        <w:spacing w:line="360" w:lineRule="auto"/>
        <w:jc w:val="both"/>
        <w:rPr>
          <w:sz w:val="16"/>
          <w:szCs w:val="16"/>
        </w:rPr>
      </w:pPr>
      <w:bookmarkStart w:id="0" w:name="_GoBack"/>
      <w:bookmarkEnd w:id="0"/>
    </w:p>
    <w:p w:rsidR="009E60E1" w:rsidRPr="009E60E1" w:rsidRDefault="009E60E1" w:rsidP="006C2C02">
      <w:pPr>
        <w:spacing w:line="360" w:lineRule="auto"/>
        <w:jc w:val="both"/>
        <w:rPr>
          <w:sz w:val="16"/>
          <w:szCs w:val="16"/>
        </w:rPr>
      </w:pPr>
    </w:p>
    <w:p w:rsidR="006A0252" w:rsidRPr="00FB175B" w:rsidRDefault="006A0252" w:rsidP="006A0252">
      <w:pPr>
        <w:jc w:val="right"/>
      </w:pPr>
      <w:r w:rsidRPr="00FB175B">
        <w:t xml:space="preserve">Kraków, </w:t>
      </w:r>
      <w:r w:rsidR="00266DF5">
        <w:t>1 czerwca</w:t>
      </w:r>
      <w:r w:rsidR="00BE3825" w:rsidRPr="00FB175B">
        <w:t xml:space="preserve"> 202</w:t>
      </w:r>
      <w:r w:rsidR="00BA112F" w:rsidRPr="00FB175B">
        <w:t>2</w:t>
      </w:r>
      <w:r w:rsidRPr="00FB175B">
        <w:t xml:space="preserve"> r.</w:t>
      </w:r>
    </w:p>
    <w:p w:rsidR="006A0252" w:rsidRPr="00FB175B" w:rsidRDefault="00EF0125" w:rsidP="00261798">
      <w:pPr>
        <w:rPr>
          <w:b/>
        </w:rPr>
      </w:pPr>
      <w:r>
        <w:rPr>
          <w:b/>
        </w:rPr>
        <w:t>OAS.</w:t>
      </w:r>
      <w:r w:rsidR="006A0252" w:rsidRPr="00FB175B">
        <w:rPr>
          <w:b/>
        </w:rPr>
        <w:t>II.420.</w:t>
      </w:r>
      <w:r w:rsidR="00261798" w:rsidRPr="00FB175B">
        <w:rPr>
          <w:b/>
        </w:rPr>
        <w:t>13</w:t>
      </w:r>
      <w:r w:rsidR="00BE3825" w:rsidRPr="00FB175B">
        <w:rPr>
          <w:b/>
        </w:rPr>
        <w:t>.202</w:t>
      </w:r>
      <w:r w:rsidR="00BA112F" w:rsidRPr="00FB175B">
        <w:rPr>
          <w:b/>
        </w:rPr>
        <w:t>2</w:t>
      </w:r>
    </w:p>
    <w:p w:rsidR="00261798" w:rsidRPr="00FB175B" w:rsidRDefault="00261798" w:rsidP="00261798">
      <w:pPr>
        <w:rPr>
          <w:b/>
        </w:rPr>
      </w:pPr>
    </w:p>
    <w:p w:rsidR="006A0252" w:rsidRPr="00FB175B" w:rsidRDefault="006A0252" w:rsidP="006A0252">
      <w:pPr>
        <w:spacing w:line="360" w:lineRule="auto"/>
        <w:jc w:val="both"/>
        <w:rPr>
          <w:i/>
          <w:iCs/>
        </w:rPr>
      </w:pPr>
      <w:r w:rsidRPr="00FB175B">
        <w:rPr>
          <w:i/>
          <w:iCs/>
        </w:rPr>
        <w:t xml:space="preserve">Dot. praktyk aplikantów </w:t>
      </w:r>
      <w:r w:rsidR="00BA112F" w:rsidRPr="00FB175B">
        <w:rPr>
          <w:i/>
          <w:iCs/>
        </w:rPr>
        <w:t>I</w:t>
      </w:r>
      <w:r w:rsidR="00EF0125">
        <w:rPr>
          <w:i/>
          <w:iCs/>
        </w:rPr>
        <w:t>I</w:t>
      </w:r>
      <w:r w:rsidRPr="00FB175B">
        <w:rPr>
          <w:i/>
          <w:iCs/>
        </w:rPr>
        <w:t xml:space="preserve"> rocznika aplikacji </w:t>
      </w:r>
      <w:r w:rsidR="00BE3825" w:rsidRPr="00FB175B">
        <w:rPr>
          <w:i/>
          <w:iCs/>
        </w:rPr>
        <w:t xml:space="preserve">uzupełniającej </w:t>
      </w:r>
      <w:r w:rsidRPr="00FB175B">
        <w:rPr>
          <w:i/>
          <w:iCs/>
        </w:rPr>
        <w:t xml:space="preserve">sędziowskiej po </w:t>
      </w:r>
      <w:r w:rsidR="00BA112F" w:rsidRPr="00FB175B">
        <w:rPr>
          <w:i/>
          <w:iCs/>
        </w:rPr>
        <w:t>19</w:t>
      </w:r>
      <w:r w:rsidRPr="00FB175B">
        <w:rPr>
          <w:i/>
          <w:iCs/>
        </w:rPr>
        <w:t xml:space="preserve"> zjeździe</w:t>
      </w:r>
    </w:p>
    <w:p w:rsidR="006A0252" w:rsidRPr="00FB175B" w:rsidRDefault="006A0252" w:rsidP="006A0252">
      <w:pPr>
        <w:spacing w:line="360" w:lineRule="auto"/>
        <w:rPr>
          <w:b/>
          <w:bCs/>
        </w:rPr>
      </w:pPr>
    </w:p>
    <w:p w:rsidR="006A0252" w:rsidRPr="00FB175B" w:rsidRDefault="006A0252" w:rsidP="006A0252">
      <w:pPr>
        <w:spacing w:line="360" w:lineRule="auto"/>
        <w:ind w:left="4956"/>
        <w:rPr>
          <w:b/>
        </w:rPr>
      </w:pPr>
      <w:r w:rsidRPr="00FB175B">
        <w:rPr>
          <w:b/>
        </w:rPr>
        <w:t>Do</w:t>
      </w:r>
    </w:p>
    <w:p w:rsidR="006A0252" w:rsidRPr="00FB175B" w:rsidRDefault="000502C8" w:rsidP="006A0252">
      <w:pPr>
        <w:spacing w:line="360" w:lineRule="auto"/>
        <w:ind w:left="4956"/>
        <w:rPr>
          <w:b/>
        </w:rPr>
      </w:pPr>
      <w:r w:rsidRPr="00FB175B">
        <w:rPr>
          <w:b/>
        </w:rPr>
        <w:t>P</w:t>
      </w:r>
      <w:r w:rsidR="006A0252" w:rsidRPr="00FB175B">
        <w:rPr>
          <w:b/>
        </w:rPr>
        <w:t>atronów praktyk</w:t>
      </w:r>
    </w:p>
    <w:p w:rsidR="006A0252" w:rsidRPr="00FB175B" w:rsidRDefault="000502C8" w:rsidP="006A0252">
      <w:pPr>
        <w:spacing w:line="360" w:lineRule="auto"/>
        <w:ind w:left="4956"/>
        <w:rPr>
          <w:b/>
        </w:rPr>
      </w:pPr>
      <w:r w:rsidRPr="00FB175B">
        <w:rPr>
          <w:b/>
        </w:rPr>
        <w:t>oraz P</w:t>
      </w:r>
      <w:r w:rsidR="006A0252" w:rsidRPr="00FB175B">
        <w:rPr>
          <w:b/>
        </w:rPr>
        <w:t>atronów koordynatorów</w:t>
      </w:r>
    </w:p>
    <w:p w:rsidR="006A0252" w:rsidRPr="00FB175B" w:rsidRDefault="006A0252" w:rsidP="006A0252">
      <w:pPr>
        <w:spacing w:line="360" w:lineRule="auto"/>
        <w:ind w:left="4956"/>
        <w:rPr>
          <w:b/>
        </w:rPr>
      </w:pPr>
      <w:r w:rsidRPr="00FB175B">
        <w:rPr>
          <w:b/>
        </w:rPr>
        <w:t xml:space="preserve">aplikantów aplikacji </w:t>
      </w:r>
      <w:r w:rsidR="002F2CB0" w:rsidRPr="00FB175B">
        <w:rPr>
          <w:b/>
        </w:rPr>
        <w:t xml:space="preserve">uzupełniającej </w:t>
      </w:r>
      <w:r w:rsidRPr="00FB175B">
        <w:rPr>
          <w:b/>
        </w:rPr>
        <w:t xml:space="preserve">sędziowskiej </w:t>
      </w:r>
    </w:p>
    <w:p w:rsidR="006A0252" w:rsidRPr="00FB175B" w:rsidRDefault="006A0252" w:rsidP="009E60E1">
      <w:pPr>
        <w:ind w:left="708"/>
        <w:jc w:val="both"/>
      </w:pPr>
    </w:p>
    <w:p w:rsidR="006A0252" w:rsidRPr="00FB175B" w:rsidRDefault="006A0252" w:rsidP="009E60E1">
      <w:pPr>
        <w:ind w:firstLine="708"/>
        <w:jc w:val="both"/>
      </w:pPr>
    </w:p>
    <w:p w:rsidR="001105BD" w:rsidRPr="00FB175B" w:rsidRDefault="00261798" w:rsidP="009E60E1">
      <w:pPr>
        <w:spacing w:line="336" w:lineRule="auto"/>
        <w:ind w:firstLine="708"/>
        <w:jc w:val="both"/>
        <w:rPr>
          <w:b/>
        </w:rPr>
      </w:pPr>
      <w:r w:rsidRPr="00FB175B">
        <w:t xml:space="preserve">Uprzejmie przedstawiam szczegółowy zakres tematyczny, który </w:t>
      </w:r>
      <w:r w:rsidR="001105BD" w:rsidRPr="00FB175B">
        <w:t>winien być przedmiotem praktyk aplikantów</w:t>
      </w:r>
      <w:r w:rsidR="00BD3830" w:rsidRPr="00FB175B">
        <w:t xml:space="preserve"> II rocznika</w:t>
      </w:r>
      <w:r w:rsidR="001105BD" w:rsidRPr="00FB175B">
        <w:t xml:space="preserve"> aplikacji sędziowskiej odbywanych </w:t>
      </w:r>
      <w:r w:rsidR="002F2CB0" w:rsidRPr="00FB175B">
        <w:t xml:space="preserve">w terminie </w:t>
      </w:r>
      <w:r w:rsidR="002F2CB0" w:rsidRPr="00FB175B">
        <w:rPr>
          <w:b/>
        </w:rPr>
        <w:t>27.06.2022 r.</w:t>
      </w:r>
      <w:r w:rsidR="00FE1101" w:rsidRPr="00FB175B">
        <w:rPr>
          <w:b/>
        </w:rPr>
        <w:t xml:space="preserve"> - </w:t>
      </w:r>
      <w:r w:rsidR="002F2CB0" w:rsidRPr="00FB175B">
        <w:rPr>
          <w:b/>
        </w:rPr>
        <w:t>1.07.2022 r. – 1 dzień</w:t>
      </w:r>
      <w:r w:rsidRPr="00FB175B">
        <w:rPr>
          <w:b/>
        </w:rPr>
        <w:t xml:space="preserve">, </w:t>
      </w:r>
      <w:r w:rsidR="00FE1101" w:rsidRPr="00FB175B">
        <w:rPr>
          <w:b/>
        </w:rPr>
        <w:t xml:space="preserve"> </w:t>
      </w:r>
      <w:r w:rsidR="002F2CB0" w:rsidRPr="00FB175B">
        <w:rPr>
          <w:b/>
        </w:rPr>
        <w:t xml:space="preserve">4.07.2022 r. </w:t>
      </w:r>
      <w:r w:rsidR="00FE1101" w:rsidRPr="00FB175B">
        <w:rPr>
          <w:b/>
        </w:rPr>
        <w:t xml:space="preserve">- </w:t>
      </w:r>
      <w:r w:rsidR="002F2CB0" w:rsidRPr="00FB175B">
        <w:rPr>
          <w:b/>
        </w:rPr>
        <w:t xml:space="preserve">8.07.2022 </w:t>
      </w:r>
      <w:r w:rsidR="00FB175B" w:rsidRPr="00FB175B">
        <w:rPr>
          <w:b/>
        </w:rPr>
        <w:t>r. – 1 dzień</w:t>
      </w:r>
      <w:r w:rsidR="001105BD" w:rsidRPr="00FB175B">
        <w:t xml:space="preserve">, po </w:t>
      </w:r>
      <w:r w:rsidR="00BD3830" w:rsidRPr="00FB175B">
        <w:t xml:space="preserve">19 </w:t>
      </w:r>
      <w:r w:rsidR="001105BD" w:rsidRPr="00FB175B">
        <w:t>zjeździe</w:t>
      </w:r>
      <w:r w:rsidRPr="00FB175B">
        <w:t xml:space="preserve"> tego rocznika aplikacji</w:t>
      </w:r>
      <w:r w:rsidR="001105BD" w:rsidRPr="00FB175B">
        <w:t>, który odb</w:t>
      </w:r>
      <w:r w:rsidR="00BE3825" w:rsidRPr="00FB175B">
        <w:t xml:space="preserve">ędzie </w:t>
      </w:r>
      <w:r w:rsidR="001105BD" w:rsidRPr="00FB175B">
        <w:t xml:space="preserve">się </w:t>
      </w:r>
      <w:r w:rsidR="00BD3830" w:rsidRPr="00FB175B">
        <w:rPr>
          <w:b/>
        </w:rPr>
        <w:t xml:space="preserve">25 i 26 </w:t>
      </w:r>
      <w:r w:rsidR="001105BD" w:rsidRPr="00FB175B">
        <w:rPr>
          <w:b/>
        </w:rPr>
        <w:t>czerwca 202</w:t>
      </w:r>
      <w:r w:rsidR="00BD3830" w:rsidRPr="00FB175B">
        <w:rPr>
          <w:b/>
        </w:rPr>
        <w:t>2</w:t>
      </w:r>
      <w:r w:rsidR="001105BD" w:rsidRPr="00FB175B">
        <w:rPr>
          <w:b/>
        </w:rPr>
        <w:t xml:space="preserve"> r. </w:t>
      </w:r>
    </w:p>
    <w:p w:rsidR="006A0252" w:rsidRPr="00FB175B" w:rsidRDefault="006A0252" w:rsidP="009E60E1">
      <w:pPr>
        <w:spacing w:before="120" w:line="336" w:lineRule="auto"/>
        <w:ind w:firstLine="709"/>
        <w:jc w:val="both"/>
      </w:pPr>
      <w:r w:rsidRPr="00FB175B">
        <w:t>Założeniem praktyki, co do zasady, jest zaznajomienie aplikantów z czynnościami i</w:t>
      </w:r>
      <w:r w:rsidR="009E60E1">
        <w:t> </w:t>
      </w:r>
      <w:r w:rsidRPr="00FB175B">
        <w:t>metodyką pracy sędziego oraz doskonalenie umiejętności wykorzystania wiedzy teoretycznej i znajomości orzecznictwa</w:t>
      </w:r>
      <w:r w:rsidR="00261798" w:rsidRPr="00FB175B">
        <w:t xml:space="preserve"> przy sporządzaniu projektów orzeczeń, zarządzeń i pism procesowych, a także poprzez uczestniczenie w czynnościach podejmowanych przez patrona praktyki</w:t>
      </w:r>
      <w:r w:rsidRPr="00FB175B">
        <w:t xml:space="preserve">. Praktyka winna utrwalać wiedzę zdobytą przez aplikanta podczas poprzedzających ją zajęć seminaryjnych w ramach zjazdu. </w:t>
      </w:r>
    </w:p>
    <w:p w:rsidR="006A0252" w:rsidRPr="00FB175B" w:rsidRDefault="00261798" w:rsidP="009E60E1">
      <w:pPr>
        <w:spacing w:before="120" w:line="336" w:lineRule="auto"/>
        <w:ind w:firstLine="709"/>
        <w:jc w:val="both"/>
        <w:rPr>
          <w:b/>
          <w:u w:val="single"/>
        </w:rPr>
      </w:pPr>
      <w:r w:rsidRPr="00FB175B">
        <w:t>Zgodnie z programem aplikacji uzupełniającej sędziowskiej, tematyka 19</w:t>
      </w:r>
      <w:r w:rsidR="006A0252" w:rsidRPr="00FB175B">
        <w:t xml:space="preserve"> zjazdu </w:t>
      </w:r>
      <w:r w:rsidRPr="00FB175B">
        <w:t>obejmuje zagadnienia związane z p</w:t>
      </w:r>
      <w:r w:rsidR="006A0252" w:rsidRPr="00FB175B">
        <w:t>ostępowanie</w:t>
      </w:r>
      <w:r w:rsidRPr="00FB175B">
        <w:t>m</w:t>
      </w:r>
      <w:r w:rsidR="006A0252" w:rsidRPr="00FB175B">
        <w:t xml:space="preserve"> przed sądem pierwszej instancji</w:t>
      </w:r>
      <w:r w:rsidRPr="00FB175B">
        <w:t>,</w:t>
      </w:r>
      <w:r w:rsidR="006A0252" w:rsidRPr="00FB175B">
        <w:t xml:space="preserve"> </w:t>
      </w:r>
      <w:r w:rsidRPr="00FB175B">
        <w:t>w</w:t>
      </w:r>
      <w:r w:rsidR="006A0252" w:rsidRPr="00FB175B">
        <w:t>yrokowanie</w:t>
      </w:r>
      <w:r w:rsidRPr="00FB175B">
        <w:t>m, k</w:t>
      </w:r>
      <w:r w:rsidR="006A0252" w:rsidRPr="00FB175B">
        <w:t>oszt</w:t>
      </w:r>
      <w:r w:rsidRPr="00FB175B">
        <w:t>ami</w:t>
      </w:r>
      <w:r w:rsidR="006A0252" w:rsidRPr="00FB175B">
        <w:t xml:space="preserve"> sądow</w:t>
      </w:r>
      <w:r w:rsidRPr="00FB175B">
        <w:t>ymi</w:t>
      </w:r>
      <w:r w:rsidR="006A0252" w:rsidRPr="00FB175B">
        <w:t xml:space="preserve"> i koszt</w:t>
      </w:r>
      <w:r w:rsidRPr="00FB175B">
        <w:t>ami</w:t>
      </w:r>
      <w:r w:rsidR="006A0252" w:rsidRPr="00FB175B">
        <w:t xml:space="preserve"> procesu. </w:t>
      </w:r>
      <w:r w:rsidRPr="00FB175B">
        <w:t>Po zakończeniu zjazdu aplikanci mają odbyć praktykę</w:t>
      </w:r>
      <w:r w:rsidR="006A0252" w:rsidRPr="00FB175B">
        <w:t xml:space="preserve"> </w:t>
      </w:r>
      <w:r w:rsidR="006A0252" w:rsidRPr="00FB175B">
        <w:rPr>
          <w:b/>
          <w:u w:val="single"/>
        </w:rPr>
        <w:t xml:space="preserve">w sądzie okręgowym - wydziale cywilnym, zajmującym się sprawami procesowymi w pierwszej instancji. </w:t>
      </w:r>
    </w:p>
    <w:p w:rsidR="006A0252" w:rsidRPr="00FB175B" w:rsidRDefault="006A0252" w:rsidP="009E60E1">
      <w:pPr>
        <w:spacing w:before="120" w:line="336" w:lineRule="auto"/>
        <w:ind w:firstLine="709"/>
        <w:jc w:val="both"/>
        <w:rPr>
          <w:b/>
          <w:bCs/>
        </w:rPr>
      </w:pPr>
      <w:r w:rsidRPr="00FB175B">
        <w:t xml:space="preserve">Z uwagi na zakres tematyczny </w:t>
      </w:r>
      <w:r w:rsidR="003C24A3" w:rsidRPr="00FB175B">
        <w:t>19</w:t>
      </w:r>
      <w:r w:rsidRPr="00FB175B">
        <w:t xml:space="preserve"> zjazdu</w:t>
      </w:r>
      <w:r w:rsidR="00FE1101" w:rsidRPr="00FB175B">
        <w:t>,</w:t>
      </w:r>
      <w:r w:rsidRPr="00FB175B">
        <w:t xml:space="preserve"> patron praktyki oraz patron koordynator powinni przy pracy z aplikantami poświęcić szczególną uwagę </w:t>
      </w:r>
      <w:r w:rsidR="00871F32" w:rsidRPr="00FB175B">
        <w:t>podstawowym</w:t>
      </w:r>
      <w:r w:rsidRPr="00FB175B">
        <w:t xml:space="preserve"> </w:t>
      </w:r>
      <w:r w:rsidRPr="00FB175B">
        <w:rPr>
          <w:b/>
          <w:bCs/>
        </w:rPr>
        <w:t>zagadnieniom prawa materialnego</w:t>
      </w:r>
      <w:r w:rsidR="00871F32" w:rsidRPr="00FB175B">
        <w:rPr>
          <w:b/>
          <w:bCs/>
        </w:rPr>
        <w:t xml:space="preserve">, </w:t>
      </w:r>
      <w:r w:rsidR="00871F32" w:rsidRPr="00FB175B">
        <w:rPr>
          <w:bCs/>
        </w:rPr>
        <w:t>takim jak</w:t>
      </w:r>
      <w:r w:rsidRPr="00FB175B">
        <w:rPr>
          <w:b/>
          <w:bCs/>
        </w:rPr>
        <w:t xml:space="preserve">: </w:t>
      </w:r>
    </w:p>
    <w:p w:rsidR="006A0252" w:rsidRPr="00FB175B" w:rsidRDefault="006A0252" w:rsidP="009E60E1">
      <w:pPr>
        <w:pStyle w:val="Akapitzlist"/>
        <w:numPr>
          <w:ilvl w:val="0"/>
          <w:numId w:val="17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ochrona dóbr osobistych, w szczególności:</w:t>
      </w:r>
    </w:p>
    <w:p w:rsidR="006A0252" w:rsidRPr="00FB175B" w:rsidRDefault="006A0252" w:rsidP="009E60E1">
      <w:pPr>
        <w:pStyle w:val="Akapitzlist"/>
        <w:numPr>
          <w:ilvl w:val="0"/>
          <w:numId w:val="19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pojęcie dobra osobistego i prawa osobistego,</w:t>
      </w:r>
    </w:p>
    <w:p w:rsidR="006A0252" w:rsidRPr="00FB175B" w:rsidRDefault="006A0252" w:rsidP="009E60E1">
      <w:pPr>
        <w:pStyle w:val="Akapitzlist"/>
        <w:numPr>
          <w:ilvl w:val="0"/>
          <w:numId w:val="19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dobra osobiste osób prawnych,</w:t>
      </w:r>
    </w:p>
    <w:p w:rsidR="006A0252" w:rsidRPr="00FB175B" w:rsidRDefault="006A0252" w:rsidP="009E60E1">
      <w:pPr>
        <w:pStyle w:val="Akapitzlist"/>
        <w:numPr>
          <w:ilvl w:val="0"/>
          <w:numId w:val="19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lastRenderedPageBreak/>
        <w:t>majątkowa i niemajątkowa ochrona dóbr osobistych,</w:t>
      </w:r>
    </w:p>
    <w:p w:rsidR="006A0252" w:rsidRPr="00FB175B" w:rsidRDefault="006A0252" w:rsidP="009E60E1">
      <w:pPr>
        <w:pStyle w:val="Akapitzlist"/>
        <w:numPr>
          <w:ilvl w:val="0"/>
          <w:numId w:val="19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przesłanka bezprawności naruszenia dobra osobistego oraz okoliczności wyłączające</w:t>
      </w:r>
      <w:r w:rsidR="000502C8" w:rsidRPr="00FB175B">
        <w:rPr>
          <w:rFonts w:ascii="Times New Roman" w:hAnsi="Times New Roman"/>
          <w:sz w:val="24"/>
          <w:szCs w:val="24"/>
        </w:rPr>
        <w:t xml:space="preserve"> bezprawność takiego naruszenia,</w:t>
      </w:r>
    </w:p>
    <w:p w:rsidR="006A0252" w:rsidRPr="00FB175B" w:rsidRDefault="006A0252" w:rsidP="009E60E1">
      <w:pPr>
        <w:pStyle w:val="Akapitzlist"/>
        <w:numPr>
          <w:ilvl w:val="0"/>
          <w:numId w:val="19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 xml:space="preserve">roszczenia wynikające z naruszenia dóbr osobistych (o zadośćuczynienie pieniężne, o zapłatę odpowiedniej sumy na cel społeczny, o dopełnienie czynności potrzebnych do usunięcia skutków dokonanego naruszenia dobra osobistego, o zaniechanie działania zagrażającego dobru osobistemu); </w:t>
      </w:r>
    </w:p>
    <w:p w:rsidR="00FE1101" w:rsidRPr="00FB175B" w:rsidRDefault="006A0252" w:rsidP="009E60E1">
      <w:pPr>
        <w:pStyle w:val="Akapitzlist"/>
        <w:numPr>
          <w:ilvl w:val="0"/>
          <w:numId w:val="17"/>
        </w:numPr>
        <w:spacing w:line="33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odpowiedzialność za szkodę wyrządzoną czynem niedozwolonym</w:t>
      </w:r>
      <w:r w:rsidR="00FE1101" w:rsidRPr="00FB175B">
        <w:rPr>
          <w:rFonts w:ascii="Times New Roman" w:hAnsi="Times New Roman"/>
          <w:sz w:val="24"/>
          <w:szCs w:val="24"/>
        </w:rPr>
        <w:t xml:space="preserve"> (w szczególności</w:t>
      </w:r>
      <w:r w:rsidR="00303ABB">
        <w:rPr>
          <w:rFonts w:ascii="Times New Roman" w:hAnsi="Times New Roman"/>
          <w:sz w:val="24"/>
          <w:szCs w:val="24"/>
        </w:rPr>
        <w:t>:</w:t>
      </w:r>
      <w:r w:rsidR="00FE1101" w:rsidRPr="00FB17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1101" w:rsidRPr="00EF0125">
        <w:rPr>
          <w:rFonts w:ascii="Times New Roman" w:hAnsi="Times New Roman"/>
          <w:sz w:val="24"/>
          <w:szCs w:val="24"/>
        </w:rPr>
        <w:t>wypadk</w:t>
      </w:r>
      <w:r w:rsidR="00303ABB" w:rsidRPr="00EF0125">
        <w:rPr>
          <w:rFonts w:ascii="Times New Roman" w:hAnsi="Times New Roman"/>
          <w:sz w:val="24"/>
          <w:szCs w:val="24"/>
        </w:rPr>
        <w:t>i</w:t>
      </w:r>
      <w:r w:rsidR="00FE1101" w:rsidRPr="00EF0125">
        <w:rPr>
          <w:rFonts w:ascii="Times New Roman" w:hAnsi="Times New Roman"/>
          <w:sz w:val="24"/>
          <w:szCs w:val="24"/>
        </w:rPr>
        <w:t xml:space="preserve"> komunikacyjn</w:t>
      </w:r>
      <w:r w:rsidR="00303ABB" w:rsidRPr="00EF0125">
        <w:rPr>
          <w:rFonts w:ascii="Times New Roman" w:hAnsi="Times New Roman"/>
          <w:sz w:val="24"/>
          <w:szCs w:val="24"/>
        </w:rPr>
        <w:t>e</w:t>
      </w:r>
      <w:r w:rsidR="00FE1101" w:rsidRPr="00EF0125">
        <w:rPr>
          <w:rFonts w:ascii="Times New Roman" w:hAnsi="Times New Roman"/>
          <w:sz w:val="24"/>
          <w:szCs w:val="24"/>
        </w:rPr>
        <w:t>, błęd</w:t>
      </w:r>
      <w:r w:rsidR="00303ABB" w:rsidRPr="00EF0125">
        <w:rPr>
          <w:rFonts w:ascii="Times New Roman" w:hAnsi="Times New Roman"/>
          <w:sz w:val="24"/>
          <w:szCs w:val="24"/>
        </w:rPr>
        <w:t>y</w:t>
      </w:r>
      <w:r w:rsidR="00FE1101" w:rsidRPr="00EF0125">
        <w:rPr>
          <w:rFonts w:ascii="Times New Roman" w:hAnsi="Times New Roman"/>
          <w:sz w:val="24"/>
          <w:szCs w:val="24"/>
        </w:rPr>
        <w:t xml:space="preserve"> w sztuce lekarskiej</w:t>
      </w:r>
      <w:r w:rsidR="00CD0001" w:rsidRPr="00EF0125">
        <w:rPr>
          <w:rFonts w:ascii="Times New Roman" w:hAnsi="Times New Roman"/>
          <w:sz w:val="24"/>
          <w:szCs w:val="24"/>
        </w:rPr>
        <w:t>, zakażenia szpitalne</w:t>
      </w:r>
      <w:r w:rsidR="00FE1101" w:rsidRPr="00EF0125">
        <w:rPr>
          <w:rFonts w:ascii="Times New Roman" w:hAnsi="Times New Roman"/>
          <w:sz w:val="24"/>
          <w:szCs w:val="24"/>
        </w:rPr>
        <w:t>), w tym</w:t>
      </w:r>
      <w:r w:rsidR="00303ABB" w:rsidRPr="00EF0125">
        <w:rPr>
          <w:rFonts w:ascii="Times New Roman" w:hAnsi="Times New Roman"/>
          <w:sz w:val="24"/>
          <w:szCs w:val="24"/>
        </w:rPr>
        <w:t>:</w:t>
      </w:r>
    </w:p>
    <w:p w:rsidR="006A0252" w:rsidRPr="00FB175B" w:rsidRDefault="006A0252" w:rsidP="009E60E1">
      <w:pPr>
        <w:pStyle w:val="Akapitzlist"/>
        <w:numPr>
          <w:ilvl w:val="1"/>
          <w:numId w:val="27"/>
        </w:numPr>
        <w:spacing w:line="336" w:lineRule="auto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przesłanki odpowiedzialności odszkodowawczej,</w:t>
      </w:r>
    </w:p>
    <w:p w:rsidR="006A0252" w:rsidRPr="00FB175B" w:rsidRDefault="006A0252" w:rsidP="009E60E1">
      <w:pPr>
        <w:pStyle w:val="Akapitzlist"/>
        <w:numPr>
          <w:ilvl w:val="1"/>
          <w:numId w:val="27"/>
        </w:numPr>
        <w:spacing w:line="336" w:lineRule="auto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odpowiedzialność na zasadzie winy i na zasadzie ryzyka,</w:t>
      </w:r>
    </w:p>
    <w:p w:rsidR="006A0252" w:rsidRPr="00FB175B" w:rsidRDefault="006A0252" w:rsidP="009E60E1">
      <w:pPr>
        <w:pStyle w:val="Akapitzlist"/>
        <w:numPr>
          <w:ilvl w:val="1"/>
          <w:numId w:val="27"/>
        </w:numPr>
        <w:spacing w:line="336" w:lineRule="auto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przyczynienie się poszkodowanego do powstania i zwiększenia szkody,</w:t>
      </w:r>
    </w:p>
    <w:p w:rsidR="00FE1101" w:rsidRPr="009E60E1" w:rsidRDefault="006A0252" w:rsidP="009E60E1">
      <w:pPr>
        <w:pStyle w:val="Akapitzlist"/>
        <w:numPr>
          <w:ilvl w:val="1"/>
          <w:numId w:val="27"/>
        </w:numPr>
        <w:spacing w:line="336" w:lineRule="auto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sposoby naprawienia szkody (</w:t>
      </w:r>
      <w:r w:rsidRPr="00FB175B">
        <w:rPr>
          <w:rFonts w:ascii="Times New Roman" w:hAnsi="Times New Roman"/>
          <w:i/>
          <w:sz w:val="24"/>
          <w:szCs w:val="24"/>
        </w:rPr>
        <w:t>restitutio in integrum</w:t>
      </w:r>
      <w:r w:rsidRPr="00FB175B">
        <w:rPr>
          <w:rFonts w:ascii="Times New Roman" w:hAnsi="Times New Roman"/>
          <w:sz w:val="24"/>
          <w:szCs w:val="24"/>
        </w:rPr>
        <w:t xml:space="preserve">, odszkodowanie, </w:t>
      </w:r>
      <w:r w:rsidRPr="009E60E1">
        <w:rPr>
          <w:rFonts w:ascii="Times New Roman" w:hAnsi="Times New Roman"/>
          <w:sz w:val="24"/>
          <w:szCs w:val="24"/>
        </w:rPr>
        <w:t>zadośćuczynienie, renta);</w:t>
      </w:r>
      <w:r w:rsidR="003961FD" w:rsidRPr="009E60E1">
        <w:rPr>
          <w:rFonts w:ascii="Times New Roman" w:hAnsi="Times New Roman"/>
          <w:sz w:val="24"/>
          <w:szCs w:val="24"/>
        </w:rPr>
        <w:t xml:space="preserve"> </w:t>
      </w:r>
    </w:p>
    <w:p w:rsidR="00FE1101" w:rsidRPr="009E60E1" w:rsidRDefault="00303ABB" w:rsidP="009E60E1">
      <w:pPr>
        <w:pStyle w:val="Akapitzlist"/>
        <w:numPr>
          <w:ilvl w:val="0"/>
          <w:numId w:val="26"/>
        </w:numPr>
        <w:spacing w:line="336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9E60E1">
        <w:rPr>
          <w:rFonts w:ascii="Times New Roman" w:hAnsi="Times New Roman"/>
          <w:sz w:val="24"/>
          <w:szCs w:val="24"/>
        </w:rPr>
        <w:t>przesłan</w:t>
      </w:r>
      <w:r w:rsidR="00FE1101" w:rsidRPr="009E60E1">
        <w:rPr>
          <w:rFonts w:ascii="Times New Roman" w:hAnsi="Times New Roman"/>
          <w:sz w:val="24"/>
          <w:szCs w:val="24"/>
        </w:rPr>
        <w:t>k</w:t>
      </w:r>
      <w:r w:rsidRPr="009E60E1">
        <w:rPr>
          <w:rFonts w:ascii="Times New Roman" w:hAnsi="Times New Roman"/>
          <w:sz w:val="24"/>
          <w:szCs w:val="24"/>
        </w:rPr>
        <w:t>i</w:t>
      </w:r>
      <w:r w:rsidR="00FE1101" w:rsidRPr="009E60E1">
        <w:rPr>
          <w:rFonts w:ascii="Times New Roman" w:hAnsi="Times New Roman"/>
          <w:sz w:val="24"/>
          <w:szCs w:val="24"/>
        </w:rPr>
        <w:t xml:space="preserve"> przyznania najbliższym członkom rodziny zmarłego „stosownego odszkodowania” za pogorszenie ich sytuacji życiowej (art. 446 § 3 k.c.);</w:t>
      </w:r>
    </w:p>
    <w:p w:rsidR="00FE1101" w:rsidRPr="009E60E1" w:rsidRDefault="00FE1101" w:rsidP="009E60E1">
      <w:pPr>
        <w:pStyle w:val="Akapitzlist"/>
        <w:numPr>
          <w:ilvl w:val="0"/>
          <w:numId w:val="26"/>
        </w:numPr>
        <w:spacing w:line="336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9E60E1">
        <w:rPr>
          <w:rFonts w:ascii="Times New Roman" w:hAnsi="Times New Roman"/>
          <w:sz w:val="24"/>
          <w:szCs w:val="24"/>
        </w:rPr>
        <w:t>kwalifikacj</w:t>
      </w:r>
      <w:r w:rsidR="00303ABB" w:rsidRPr="009E60E1">
        <w:rPr>
          <w:rFonts w:ascii="Times New Roman" w:hAnsi="Times New Roman"/>
          <w:sz w:val="24"/>
          <w:szCs w:val="24"/>
        </w:rPr>
        <w:t>a</w:t>
      </w:r>
      <w:r w:rsidRPr="009E60E1">
        <w:rPr>
          <w:rFonts w:ascii="Times New Roman" w:hAnsi="Times New Roman"/>
          <w:sz w:val="24"/>
          <w:szCs w:val="24"/>
        </w:rPr>
        <w:t xml:space="preserve"> roszczenia o zadośćuczynienie za krzywdę doznaną wskutek śmierci osoby bliskiej w następstwie zdarzeń zaistniałych </w:t>
      </w:r>
      <w:r w:rsidR="00303ABB" w:rsidRPr="009E60E1">
        <w:rPr>
          <w:rFonts w:ascii="Times New Roman" w:hAnsi="Times New Roman"/>
          <w:sz w:val="24"/>
          <w:szCs w:val="24"/>
        </w:rPr>
        <w:t>przed dniem 3 sierpnia 2008 r.;</w:t>
      </w:r>
    </w:p>
    <w:p w:rsidR="006A0252" w:rsidRPr="009E60E1" w:rsidRDefault="006A0252" w:rsidP="009E60E1">
      <w:pPr>
        <w:pStyle w:val="Akapitzlist"/>
        <w:numPr>
          <w:ilvl w:val="0"/>
          <w:numId w:val="17"/>
        </w:numPr>
        <w:spacing w:before="120" w:line="336" w:lineRule="auto"/>
        <w:jc w:val="both"/>
        <w:rPr>
          <w:rFonts w:ascii="Times New Roman" w:hAnsi="Times New Roman"/>
          <w:sz w:val="24"/>
          <w:szCs w:val="24"/>
        </w:rPr>
      </w:pPr>
      <w:r w:rsidRPr="009E60E1">
        <w:rPr>
          <w:rFonts w:ascii="Times New Roman" w:hAnsi="Times New Roman"/>
          <w:sz w:val="24"/>
          <w:szCs w:val="24"/>
        </w:rPr>
        <w:t>wyłączenie odpowiedzialności za szkodę wyrządzoną czynem niedozwolonym;</w:t>
      </w:r>
    </w:p>
    <w:p w:rsidR="00FE1101" w:rsidRPr="009E60E1" w:rsidRDefault="00FE1101" w:rsidP="009E60E1">
      <w:pPr>
        <w:pStyle w:val="Akapitzlist"/>
        <w:numPr>
          <w:ilvl w:val="0"/>
          <w:numId w:val="17"/>
        </w:numPr>
        <w:spacing w:line="336" w:lineRule="auto"/>
        <w:jc w:val="both"/>
        <w:rPr>
          <w:rFonts w:ascii="Times New Roman" w:hAnsi="Times New Roman"/>
          <w:sz w:val="24"/>
          <w:szCs w:val="24"/>
        </w:rPr>
      </w:pPr>
      <w:r w:rsidRPr="009E60E1">
        <w:rPr>
          <w:rFonts w:ascii="Times New Roman" w:hAnsi="Times New Roman"/>
          <w:sz w:val="24"/>
          <w:szCs w:val="24"/>
        </w:rPr>
        <w:t>przesłank</w:t>
      </w:r>
      <w:r w:rsidR="00303ABB" w:rsidRPr="009E60E1">
        <w:rPr>
          <w:rFonts w:ascii="Times New Roman" w:hAnsi="Times New Roman"/>
          <w:sz w:val="24"/>
          <w:szCs w:val="24"/>
        </w:rPr>
        <w:t>i</w:t>
      </w:r>
      <w:r w:rsidRPr="009E60E1">
        <w:rPr>
          <w:rFonts w:ascii="Times New Roman" w:hAnsi="Times New Roman"/>
          <w:sz w:val="24"/>
          <w:szCs w:val="24"/>
        </w:rPr>
        <w:t xml:space="preserve"> zmiany wysokości renty (art. 907 § 2 k.c.);</w:t>
      </w:r>
    </w:p>
    <w:p w:rsidR="006A0252" w:rsidRPr="00FB175B" w:rsidRDefault="006A0252" w:rsidP="009E60E1">
      <w:pPr>
        <w:pStyle w:val="Akapitzlist"/>
        <w:numPr>
          <w:ilvl w:val="0"/>
          <w:numId w:val="17"/>
        </w:numPr>
        <w:spacing w:before="120" w:line="336" w:lineRule="auto"/>
        <w:jc w:val="both"/>
        <w:rPr>
          <w:rFonts w:ascii="Times New Roman" w:hAnsi="Times New Roman"/>
          <w:sz w:val="24"/>
          <w:szCs w:val="24"/>
        </w:rPr>
      </w:pPr>
      <w:r w:rsidRPr="009E60E1">
        <w:rPr>
          <w:rFonts w:ascii="Times New Roman" w:hAnsi="Times New Roman"/>
          <w:sz w:val="24"/>
          <w:szCs w:val="24"/>
        </w:rPr>
        <w:t xml:space="preserve">zasady odpowiedzialności odszkodowawczej państwa za </w:t>
      </w:r>
      <w:r w:rsidRPr="00FB175B">
        <w:rPr>
          <w:rFonts w:ascii="Times New Roman" w:hAnsi="Times New Roman"/>
          <w:sz w:val="24"/>
          <w:szCs w:val="24"/>
        </w:rPr>
        <w:t>naruszenie prawa europejskiego.</w:t>
      </w:r>
    </w:p>
    <w:p w:rsidR="003961FD" w:rsidRPr="00FB175B" w:rsidRDefault="003961FD" w:rsidP="009E60E1">
      <w:pPr>
        <w:spacing w:before="120" w:line="336" w:lineRule="auto"/>
        <w:ind w:firstLine="708"/>
        <w:jc w:val="both"/>
      </w:pPr>
      <w:r w:rsidRPr="00FB175B">
        <w:t xml:space="preserve">W zakresie </w:t>
      </w:r>
      <w:r w:rsidRPr="00FB175B">
        <w:rPr>
          <w:b/>
        </w:rPr>
        <w:t>prawa procesowego</w:t>
      </w:r>
      <w:r w:rsidRPr="00FB175B">
        <w:t>, szczególną uwagę należy poświęcić zagadnieniom dotyczącym:</w:t>
      </w:r>
    </w:p>
    <w:p w:rsidR="006A0252" w:rsidRPr="009E60E1" w:rsidRDefault="006A0252" w:rsidP="009E60E1">
      <w:pPr>
        <w:pStyle w:val="Akapitzlist"/>
        <w:numPr>
          <w:ilvl w:val="0"/>
          <w:numId w:val="16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0E1">
        <w:rPr>
          <w:rFonts w:ascii="Times New Roman" w:hAnsi="Times New Roman"/>
          <w:sz w:val="24"/>
          <w:szCs w:val="24"/>
        </w:rPr>
        <w:t>postępowani</w:t>
      </w:r>
      <w:r w:rsidR="00871F32" w:rsidRPr="009E60E1">
        <w:rPr>
          <w:rFonts w:ascii="Times New Roman" w:hAnsi="Times New Roman"/>
          <w:sz w:val="24"/>
          <w:szCs w:val="24"/>
        </w:rPr>
        <w:t>a</w:t>
      </w:r>
      <w:r w:rsidRPr="009E60E1">
        <w:rPr>
          <w:rFonts w:ascii="Times New Roman" w:hAnsi="Times New Roman"/>
          <w:sz w:val="24"/>
          <w:szCs w:val="24"/>
        </w:rPr>
        <w:t xml:space="preserve"> dowodowe</w:t>
      </w:r>
      <w:r w:rsidR="00871F32" w:rsidRPr="009E60E1">
        <w:rPr>
          <w:rFonts w:ascii="Times New Roman" w:hAnsi="Times New Roman"/>
          <w:sz w:val="24"/>
          <w:szCs w:val="24"/>
        </w:rPr>
        <w:t>go</w:t>
      </w:r>
      <w:r w:rsidRPr="009E60E1">
        <w:rPr>
          <w:rFonts w:ascii="Times New Roman" w:hAnsi="Times New Roman"/>
          <w:sz w:val="24"/>
          <w:szCs w:val="24"/>
        </w:rPr>
        <w:t xml:space="preserve"> w sprawach o naruszenie dóbr osobistych oraz o naprawienie szkody wyrządzonej czynem niedozwolonym, w szczególności znaczeni</w:t>
      </w:r>
      <w:r w:rsidR="009E60EA" w:rsidRPr="009E60E1">
        <w:rPr>
          <w:rFonts w:ascii="Times New Roman" w:hAnsi="Times New Roman"/>
          <w:sz w:val="24"/>
          <w:szCs w:val="24"/>
        </w:rPr>
        <w:t>u</w:t>
      </w:r>
      <w:r w:rsidRPr="009E60E1">
        <w:rPr>
          <w:rFonts w:ascii="Times New Roman" w:hAnsi="Times New Roman"/>
          <w:sz w:val="24"/>
          <w:szCs w:val="24"/>
        </w:rPr>
        <w:t xml:space="preserve"> dowodu </w:t>
      </w:r>
      <w:r w:rsidRPr="009E60E1">
        <w:rPr>
          <w:rFonts w:ascii="Times New Roman" w:hAnsi="Times New Roman"/>
          <w:i/>
          <w:sz w:val="24"/>
          <w:szCs w:val="24"/>
        </w:rPr>
        <w:t>prima facie</w:t>
      </w:r>
      <w:r w:rsidR="006B6B78" w:rsidRPr="009E60E1">
        <w:rPr>
          <w:rFonts w:ascii="Times New Roman" w:hAnsi="Times New Roman"/>
          <w:i/>
          <w:sz w:val="24"/>
          <w:szCs w:val="24"/>
        </w:rPr>
        <w:t>,</w:t>
      </w:r>
      <w:r w:rsidR="006B6B78" w:rsidRPr="009E60E1">
        <w:rPr>
          <w:rFonts w:ascii="Times New Roman" w:hAnsi="Times New Roman"/>
          <w:sz w:val="24"/>
          <w:szCs w:val="24"/>
        </w:rPr>
        <w:t xml:space="preserve"> możliwości i zakres</w:t>
      </w:r>
      <w:r w:rsidR="009E60EA" w:rsidRPr="009E60E1">
        <w:rPr>
          <w:rFonts w:ascii="Times New Roman" w:hAnsi="Times New Roman"/>
          <w:sz w:val="24"/>
          <w:szCs w:val="24"/>
        </w:rPr>
        <w:t>owi</w:t>
      </w:r>
      <w:r w:rsidR="006B6B78" w:rsidRPr="009E60E1">
        <w:rPr>
          <w:rFonts w:ascii="Times New Roman" w:hAnsi="Times New Roman"/>
          <w:sz w:val="24"/>
          <w:szCs w:val="24"/>
        </w:rPr>
        <w:t xml:space="preserve"> wykorzystania materiału dowodowego zgromadzonego w</w:t>
      </w:r>
      <w:r w:rsidR="009E60E1">
        <w:rPr>
          <w:rFonts w:ascii="Times New Roman" w:hAnsi="Times New Roman"/>
          <w:sz w:val="24"/>
          <w:szCs w:val="24"/>
        </w:rPr>
        <w:t> </w:t>
      </w:r>
      <w:r w:rsidR="006B6B78" w:rsidRPr="009E60E1">
        <w:rPr>
          <w:rFonts w:ascii="Times New Roman" w:hAnsi="Times New Roman"/>
          <w:sz w:val="24"/>
          <w:szCs w:val="24"/>
        </w:rPr>
        <w:t>sprawie karnej, zakres</w:t>
      </w:r>
      <w:r w:rsidR="009E60EA" w:rsidRPr="009E60E1">
        <w:rPr>
          <w:rFonts w:ascii="Times New Roman" w:hAnsi="Times New Roman"/>
          <w:sz w:val="24"/>
          <w:szCs w:val="24"/>
        </w:rPr>
        <w:t>owi</w:t>
      </w:r>
      <w:r w:rsidR="006B6B78" w:rsidRPr="009E60E1">
        <w:rPr>
          <w:rFonts w:ascii="Times New Roman" w:hAnsi="Times New Roman"/>
          <w:sz w:val="24"/>
          <w:szCs w:val="24"/>
        </w:rPr>
        <w:t xml:space="preserve"> związania wyrokiem sądu karnego</w:t>
      </w:r>
      <w:r w:rsidR="00FB175B" w:rsidRPr="009E60E1">
        <w:rPr>
          <w:rFonts w:ascii="Times New Roman" w:hAnsi="Times New Roman"/>
          <w:sz w:val="24"/>
          <w:szCs w:val="24"/>
        </w:rPr>
        <w:t>;</w:t>
      </w:r>
    </w:p>
    <w:p w:rsidR="006A0252" w:rsidRPr="00FB175B" w:rsidRDefault="006A0252" w:rsidP="009E60E1">
      <w:pPr>
        <w:pStyle w:val="Akapitzlist"/>
        <w:numPr>
          <w:ilvl w:val="0"/>
          <w:numId w:val="16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60E1">
        <w:rPr>
          <w:rFonts w:ascii="Times New Roman" w:hAnsi="Times New Roman"/>
          <w:sz w:val="24"/>
          <w:szCs w:val="24"/>
        </w:rPr>
        <w:t>ocen</w:t>
      </w:r>
      <w:r w:rsidR="00871F32" w:rsidRPr="009E60E1">
        <w:rPr>
          <w:rFonts w:ascii="Times New Roman" w:hAnsi="Times New Roman"/>
          <w:sz w:val="24"/>
          <w:szCs w:val="24"/>
        </w:rPr>
        <w:t>y</w:t>
      </w:r>
      <w:r w:rsidRPr="009E60E1">
        <w:rPr>
          <w:rFonts w:ascii="Times New Roman" w:hAnsi="Times New Roman"/>
          <w:sz w:val="24"/>
          <w:szCs w:val="24"/>
        </w:rPr>
        <w:t xml:space="preserve"> akt pod kątem wydania wyroku, z uwzględnieniem </w:t>
      </w:r>
      <w:r w:rsidRPr="00FB175B">
        <w:rPr>
          <w:rFonts w:ascii="Times New Roman" w:hAnsi="Times New Roman"/>
          <w:sz w:val="24"/>
          <w:szCs w:val="24"/>
        </w:rPr>
        <w:t>różnych rodzajów wyroków (wstępny, częściowy, uzupełniający, zaoczny);</w:t>
      </w:r>
    </w:p>
    <w:p w:rsidR="006A0252" w:rsidRPr="00FB175B" w:rsidRDefault="006A0252" w:rsidP="009E60E1">
      <w:pPr>
        <w:pStyle w:val="Akapitzlist"/>
        <w:numPr>
          <w:ilvl w:val="0"/>
          <w:numId w:val="16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rozstrzygani</w:t>
      </w:r>
      <w:r w:rsidR="00871F32" w:rsidRPr="00FB175B">
        <w:rPr>
          <w:rFonts w:ascii="Times New Roman" w:hAnsi="Times New Roman"/>
          <w:sz w:val="24"/>
          <w:szCs w:val="24"/>
        </w:rPr>
        <w:t>a</w:t>
      </w:r>
      <w:r w:rsidRPr="00FB175B">
        <w:rPr>
          <w:rFonts w:ascii="Times New Roman" w:hAnsi="Times New Roman"/>
          <w:sz w:val="24"/>
          <w:szCs w:val="24"/>
        </w:rPr>
        <w:t xml:space="preserve"> o kosztach sądowych i kosztach procesu;</w:t>
      </w:r>
    </w:p>
    <w:p w:rsidR="006A0252" w:rsidRPr="00FB175B" w:rsidRDefault="006A0252" w:rsidP="009E60E1">
      <w:pPr>
        <w:pStyle w:val="Akapitzlist"/>
        <w:numPr>
          <w:ilvl w:val="0"/>
          <w:numId w:val="16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zwolnieni</w:t>
      </w:r>
      <w:r w:rsidR="00871F32" w:rsidRPr="00FB175B">
        <w:rPr>
          <w:rFonts w:ascii="Times New Roman" w:hAnsi="Times New Roman"/>
          <w:sz w:val="24"/>
          <w:szCs w:val="24"/>
        </w:rPr>
        <w:t>a</w:t>
      </w:r>
      <w:r w:rsidRPr="00FB175B">
        <w:rPr>
          <w:rFonts w:ascii="Times New Roman" w:hAnsi="Times New Roman"/>
          <w:sz w:val="24"/>
          <w:szCs w:val="24"/>
        </w:rPr>
        <w:t xml:space="preserve"> od kosztów sądowych i przesłan</w:t>
      </w:r>
      <w:r w:rsidR="009E60EA">
        <w:rPr>
          <w:rFonts w:ascii="Times New Roman" w:hAnsi="Times New Roman"/>
          <w:sz w:val="24"/>
          <w:szCs w:val="24"/>
        </w:rPr>
        <w:t>ek</w:t>
      </w:r>
      <w:r w:rsidR="000502C8" w:rsidRPr="00FB175B">
        <w:rPr>
          <w:rFonts w:ascii="Times New Roman" w:hAnsi="Times New Roman"/>
          <w:sz w:val="24"/>
          <w:szCs w:val="24"/>
        </w:rPr>
        <w:t xml:space="preserve"> cofnięcia takiego zwolnienia;</w:t>
      </w:r>
    </w:p>
    <w:p w:rsidR="006A0252" w:rsidRPr="00FB175B" w:rsidRDefault="006A0252" w:rsidP="009E60E1">
      <w:pPr>
        <w:pStyle w:val="Akapitzlist"/>
        <w:numPr>
          <w:ilvl w:val="0"/>
          <w:numId w:val="16"/>
        </w:numPr>
        <w:spacing w:after="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>rozstrzygani</w:t>
      </w:r>
      <w:r w:rsidR="009E60EA">
        <w:rPr>
          <w:rFonts w:ascii="Times New Roman" w:hAnsi="Times New Roman"/>
          <w:sz w:val="24"/>
          <w:szCs w:val="24"/>
        </w:rPr>
        <w:t>a</w:t>
      </w:r>
      <w:r w:rsidRPr="00FB175B">
        <w:rPr>
          <w:rFonts w:ascii="Times New Roman" w:hAnsi="Times New Roman"/>
          <w:sz w:val="24"/>
          <w:szCs w:val="24"/>
        </w:rPr>
        <w:t xml:space="preserve"> o innych elementach wyroku – obligatoryjnych (np. rygor natychmiastowej wykonalności) i fakultatywnych (np. ograniczenie odpowiedzialności pozwanego, tzw. moratorium sędziowskie).</w:t>
      </w:r>
    </w:p>
    <w:p w:rsidR="005A63FF" w:rsidRPr="00FB175B" w:rsidRDefault="005A63FF" w:rsidP="009E60E1">
      <w:pPr>
        <w:spacing w:before="120" w:line="336" w:lineRule="auto"/>
        <w:ind w:firstLine="708"/>
        <w:jc w:val="both"/>
      </w:pPr>
      <w:r w:rsidRPr="00FB175B">
        <w:lastRenderedPageBreak/>
        <w:t>Zaleca się, aby w trakcie praktyki aplikanci zapoznawali się z konkretnymi sprawami z</w:t>
      </w:r>
      <w:r w:rsidR="009E60E1">
        <w:t> </w:t>
      </w:r>
      <w:r w:rsidRPr="00FB175B">
        <w:t xml:space="preserve">wyżej wymienionego zakresu, brali udział w rozprawach dotyczących tych spraw oraz aby – przy uwzględnieniu </w:t>
      </w:r>
      <w:r w:rsidRPr="00FB175B">
        <w:rPr>
          <w:color w:val="000000" w:themeColor="text1"/>
        </w:rPr>
        <w:t xml:space="preserve">trwania </w:t>
      </w:r>
      <w:r w:rsidRPr="00FB175B">
        <w:t xml:space="preserve">praktyki – powierzano im możliwie jak największą liczbę czynności, które utrwalą zdobytą przez nich wiedzę i umiejętności praktyczne, </w:t>
      </w:r>
      <w:r w:rsidRPr="00FB175B">
        <w:br/>
        <w:t xml:space="preserve">a w szczególności, aby brali czynny udział w przygotowywaniu projektów zarządzeń </w:t>
      </w:r>
      <w:r w:rsidRPr="00FB175B">
        <w:br/>
        <w:t>i orzeczeń wraz z uzasadnieniami.</w:t>
      </w:r>
    </w:p>
    <w:p w:rsidR="005A63FF" w:rsidRPr="005E1B7F" w:rsidRDefault="005A63FF" w:rsidP="009E60E1">
      <w:pPr>
        <w:spacing w:line="336" w:lineRule="auto"/>
        <w:ind w:firstLine="360"/>
        <w:jc w:val="both"/>
        <w:rPr>
          <w:b/>
          <w:sz w:val="16"/>
          <w:szCs w:val="16"/>
          <w:u w:val="single"/>
        </w:rPr>
      </w:pPr>
    </w:p>
    <w:p w:rsidR="005A63FF" w:rsidRPr="00FB175B" w:rsidRDefault="005A63FF" w:rsidP="009E60E1">
      <w:pPr>
        <w:spacing w:line="336" w:lineRule="auto"/>
        <w:ind w:firstLine="360"/>
        <w:jc w:val="both"/>
        <w:rPr>
          <w:b/>
          <w:u w:val="single"/>
        </w:rPr>
      </w:pPr>
      <w:r w:rsidRPr="00FB175B">
        <w:rPr>
          <w:b/>
          <w:u w:val="single"/>
        </w:rPr>
        <w:t>W trakcie praktyki należy zlecić aplikantowi sporządzenie projektów następujących decyzji procesowych (czynności obowiązkowe):</w:t>
      </w:r>
    </w:p>
    <w:p w:rsidR="00871F32" w:rsidRPr="005E1B7F" w:rsidRDefault="00871F32" w:rsidP="009E60E1">
      <w:pPr>
        <w:spacing w:line="336" w:lineRule="auto"/>
        <w:ind w:firstLine="360"/>
        <w:jc w:val="both"/>
        <w:rPr>
          <w:b/>
          <w:sz w:val="16"/>
          <w:szCs w:val="16"/>
          <w:u w:val="single"/>
        </w:rPr>
      </w:pPr>
    </w:p>
    <w:p w:rsidR="00871F32" w:rsidRPr="009E60E1" w:rsidRDefault="00871F32" w:rsidP="009E60E1">
      <w:pPr>
        <w:pStyle w:val="Akapitzlist"/>
        <w:numPr>
          <w:ilvl w:val="0"/>
          <w:numId w:val="22"/>
        </w:numPr>
        <w:spacing w:before="80" w:after="80" w:line="336" w:lineRule="auto"/>
        <w:ind w:left="527" w:hanging="357"/>
        <w:jc w:val="both"/>
        <w:rPr>
          <w:rFonts w:ascii="Times New Roman" w:hAnsi="Times New Roman"/>
          <w:sz w:val="24"/>
          <w:szCs w:val="24"/>
        </w:rPr>
      </w:pPr>
      <w:r w:rsidRPr="009E60E1">
        <w:rPr>
          <w:rFonts w:ascii="Times New Roman" w:hAnsi="Times New Roman"/>
          <w:sz w:val="24"/>
          <w:szCs w:val="24"/>
        </w:rPr>
        <w:t>sporządzenie co najmniej jednego projektu wyroku</w:t>
      </w:r>
      <w:r w:rsidR="00514063" w:rsidRPr="009E60E1">
        <w:rPr>
          <w:rFonts w:ascii="Times New Roman" w:hAnsi="Times New Roman"/>
          <w:sz w:val="24"/>
          <w:szCs w:val="24"/>
        </w:rPr>
        <w:t xml:space="preserve"> (z rozstrzygnięciem o kosztach </w:t>
      </w:r>
      <w:r w:rsidR="004717E1" w:rsidRPr="009E60E1">
        <w:rPr>
          <w:rFonts w:ascii="Times New Roman" w:hAnsi="Times New Roman"/>
          <w:sz w:val="24"/>
          <w:szCs w:val="24"/>
        </w:rPr>
        <w:t>procesu</w:t>
      </w:r>
      <w:r w:rsidR="00514063" w:rsidRPr="009E60E1">
        <w:rPr>
          <w:rFonts w:ascii="Times New Roman" w:hAnsi="Times New Roman"/>
          <w:sz w:val="24"/>
          <w:szCs w:val="24"/>
        </w:rPr>
        <w:t>)</w:t>
      </w:r>
      <w:r w:rsidRPr="009E60E1">
        <w:rPr>
          <w:rFonts w:ascii="Times New Roman" w:hAnsi="Times New Roman"/>
          <w:sz w:val="24"/>
          <w:szCs w:val="24"/>
        </w:rPr>
        <w:t xml:space="preserve"> wraz z uzasadnieniem, z tematyki prawa materialnego wskazanej powyżej, ze</w:t>
      </w:r>
      <w:r w:rsidR="009E60E1">
        <w:rPr>
          <w:rFonts w:ascii="Times New Roman" w:hAnsi="Times New Roman"/>
          <w:sz w:val="24"/>
          <w:szCs w:val="24"/>
        </w:rPr>
        <w:t> </w:t>
      </w:r>
      <w:r w:rsidRPr="009E60E1">
        <w:rPr>
          <w:rFonts w:ascii="Times New Roman" w:hAnsi="Times New Roman"/>
          <w:sz w:val="24"/>
          <w:szCs w:val="24"/>
        </w:rPr>
        <w:t>szczególnym uwzględnieniem spraw, w których przeprowadzono postępowanie dowodowe wymagające szerokiego omówienia w uzasadnieniu;</w:t>
      </w:r>
    </w:p>
    <w:p w:rsidR="006B6B78" w:rsidRPr="00514063" w:rsidRDefault="00871F32" w:rsidP="009E60E1">
      <w:pPr>
        <w:pStyle w:val="Akapitzlist"/>
        <w:numPr>
          <w:ilvl w:val="0"/>
          <w:numId w:val="22"/>
        </w:numPr>
        <w:spacing w:before="80" w:after="80" w:line="336" w:lineRule="auto"/>
        <w:jc w:val="both"/>
        <w:rPr>
          <w:rFonts w:ascii="Times New Roman" w:hAnsi="Times New Roman"/>
          <w:sz w:val="24"/>
          <w:szCs w:val="24"/>
        </w:rPr>
      </w:pPr>
      <w:r w:rsidRPr="00FB175B">
        <w:rPr>
          <w:rFonts w:ascii="Times New Roman" w:hAnsi="Times New Roman"/>
          <w:sz w:val="24"/>
          <w:szCs w:val="24"/>
        </w:rPr>
        <w:t xml:space="preserve">sporządzenie </w:t>
      </w:r>
      <w:r w:rsidR="00514063">
        <w:rPr>
          <w:rFonts w:ascii="Times New Roman" w:hAnsi="Times New Roman"/>
          <w:sz w:val="24"/>
          <w:szCs w:val="24"/>
        </w:rPr>
        <w:t xml:space="preserve">co najmniej dwóch </w:t>
      </w:r>
      <w:r w:rsidRPr="00FB175B">
        <w:rPr>
          <w:rFonts w:ascii="Times New Roman" w:hAnsi="Times New Roman"/>
          <w:sz w:val="24"/>
          <w:szCs w:val="24"/>
        </w:rPr>
        <w:t xml:space="preserve">projektów </w:t>
      </w:r>
      <w:r w:rsidR="00514063">
        <w:rPr>
          <w:rFonts w:ascii="Times New Roman" w:hAnsi="Times New Roman"/>
          <w:sz w:val="24"/>
          <w:szCs w:val="24"/>
        </w:rPr>
        <w:t xml:space="preserve">postanowień </w:t>
      </w:r>
      <w:r w:rsidR="006B6B78" w:rsidRPr="00514063">
        <w:rPr>
          <w:rFonts w:ascii="Times New Roman" w:hAnsi="Times New Roman"/>
          <w:sz w:val="24"/>
          <w:szCs w:val="24"/>
        </w:rPr>
        <w:t>o dopuszczeniu dowodu z opinii biegł</w:t>
      </w:r>
      <w:r w:rsidR="009E60EA" w:rsidRPr="00514063">
        <w:rPr>
          <w:rFonts w:ascii="Times New Roman" w:hAnsi="Times New Roman"/>
          <w:sz w:val="24"/>
          <w:szCs w:val="24"/>
        </w:rPr>
        <w:t>ych</w:t>
      </w:r>
      <w:r w:rsidR="006B6B78" w:rsidRPr="00514063">
        <w:rPr>
          <w:rFonts w:ascii="Times New Roman" w:hAnsi="Times New Roman"/>
          <w:sz w:val="24"/>
          <w:szCs w:val="24"/>
        </w:rPr>
        <w:t xml:space="preserve"> z różnych specjalności w sprawach </w:t>
      </w:r>
      <w:r w:rsidR="009E60EA" w:rsidRPr="00514063">
        <w:rPr>
          <w:rFonts w:ascii="Times New Roman" w:hAnsi="Times New Roman"/>
          <w:sz w:val="24"/>
          <w:szCs w:val="24"/>
        </w:rPr>
        <w:t xml:space="preserve">z tematyki prawa materialnego wskazanej powyżej </w:t>
      </w:r>
      <w:r w:rsidR="006B6B78" w:rsidRPr="00514063">
        <w:rPr>
          <w:rFonts w:ascii="Times New Roman" w:hAnsi="Times New Roman"/>
          <w:sz w:val="24"/>
          <w:szCs w:val="24"/>
        </w:rPr>
        <w:t>oraz pisma w przedmiocie zlecen</w:t>
      </w:r>
      <w:r w:rsidR="004717E1">
        <w:rPr>
          <w:rFonts w:ascii="Times New Roman" w:hAnsi="Times New Roman"/>
          <w:sz w:val="24"/>
          <w:szCs w:val="24"/>
        </w:rPr>
        <w:t>ia biegłemu sporządzenia opinii.</w:t>
      </w:r>
    </w:p>
    <w:p w:rsidR="00514063" w:rsidRPr="005E1B7F" w:rsidRDefault="00514063" w:rsidP="009E60E1">
      <w:pPr>
        <w:spacing w:line="336" w:lineRule="auto"/>
        <w:ind w:firstLine="708"/>
        <w:jc w:val="both"/>
        <w:rPr>
          <w:sz w:val="16"/>
          <w:szCs w:val="16"/>
        </w:rPr>
      </w:pPr>
    </w:p>
    <w:p w:rsidR="005A63FF" w:rsidRPr="00FB175B" w:rsidRDefault="005A63FF" w:rsidP="009E60E1">
      <w:pPr>
        <w:spacing w:line="336" w:lineRule="auto"/>
        <w:ind w:firstLine="708"/>
        <w:jc w:val="both"/>
      </w:pPr>
      <w:r w:rsidRPr="00FB175B"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5A63FF" w:rsidRPr="00FB175B" w:rsidRDefault="005A63FF" w:rsidP="009E60E1">
      <w:pPr>
        <w:spacing w:line="336" w:lineRule="auto"/>
        <w:ind w:firstLine="708"/>
        <w:jc w:val="both"/>
        <w:rPr>
          <w:b/>
        </w:rPr>
      </w:pPr>
      <w:r w:rsidRPr="00FB175B">
        <w:rPr>
          <w:b/>
        </w:rPr>
        <w:t xml:space="preserve">Po wykonaniu przez aplikanta czynności należy szczegółowo omówić z nim wyniki jego pracy. </w:t>
      </w:r>
    </w:p>
    <w:p w:rsidR="006B6150" w:rsidRPr="00FB175B" w:rsidRDefault="006A0252" w:rsidP="009E60E1">
      <w:pPr>
        <w:spacing w:before="120" w:line="336" w:lineRule="auto"/>
        <w:ind w:firstLine="708"/>
        <w:jc w:val="both"/>
      </w:pPr>
      <w:r w:rsidRPr="00FB175B">
        <w:t xml:space="preserve">Ponadto informuję, </w:t>
      </w:r>
      <w:r w:rsidRPr="009E60E1">
        <w:rPr>
          <w:b/>
        </w:rPr>
        <w:t>że przedmiotem sprawdzianu,</w:t>
      </w:r>
      <w:r w:rsidRPr="00FB175B">
        <w:t xml:space="preserve"> który aplikanci będą pisać po </w:t>
      </w:r>
      <w:r w:rsidR="00FB175B" w:rsidRPr="00FB175B">
        <w:t>zakończeniu praktyki</w:t>
      </w:r>
      <w:r w:rsidRPr="00FB175B">
        <w:t xml:space="preserve">, </w:t>
      </w:r>
      <w:r w:rsidR="000502C8" w:rsidRPr="00FB175B">
        <w:t>tj.</w:t>
      </w:r>
      <w:r w:rsidRPr="00FB175B">
        <w:t xml:space="preserve"> </w:t>
      </w:r>
      <w:r w:rsidR="00BD3830" w:rsidRPr="00FB175B">
        <w:rPr>
          <w:b/>
        </w:rPr>
        <w:t>9</w:t>
      </w:r>
      <w:r w:rsidR="00776220" w:rsidRPr="00FB175B">
        <w:rPr>
          <w:b/>
        </w:rPr>
        <w:t xml:space="preserve"> lipca</w:t>
      </w:r>
      <w:r w:rsidRPr="00FB175B">
        <w:rPr>
          <w:b/>
        </w:rPr>
        <w:t xml:space="preserve"> 202</w:t>
      </w:r>
      <w:r w:rsidR="00BD3830" w:rsidRPr="00FB175B">
        <w:rPr>
          <w:b/>
        </w:rPr>
        <w:t>2</w:t>
      </w:r>
      <w:r w:rsidRPr="00FB175B">
        <w:t xml:space="preserve"> </w:t>
      </w:r>
      <w:r w:rsidRPr="00FB175B">
        <w:rPr>
          <w:b/>
        </w:rPr>
        <w:t>r.</w:t>
      </w:r>
      <w:r w:rsidRPr="00FB175B">
        <w:t xml:space="preserve">, będzie sporządzenie - na podstawie spreparowanych akt – </w:t>
      </w:r>
      <w:r w:rsidRPr="009E60E1">
        <w:t>projektu</w:t>
      </w:r>
      <w:r w:rsidRPr="009E60E1">
        <w:rPr>
          <w:b/>
        </w:rPr>
        <w:t xml:space="preserve"> orzeczenia z omówieniem lub uzasadnieniem z zakresu problematyki objętej przedmiotowym zjazdem</w:t>
      </w:r>
      <w:r w:rsidRPr="00FB175B">
        <w:t>, stąd koniecznym jest zwrócenie szczególnej uwagi na nabycie przez aplikantów umiejętności samodzielnego opracowywania projektów orzeczeń wraz z</w:t>
      </w:r>
      <w:r w:rsidR="009E60E1">
        <w:t> </w:t>
      </w:r>
      <w:r w:rsidRPr="00FB175B">
        <w:t xml:space="preserve">uzasadnieniem w tego rodzaju sprawach. </w:t>
      </w:r>
    </w:p>
    <w:p w:rsidR="006A0252" w:rsidRPr="00FB175B" w:rsidRDefault="006A0252" w:rsidP="006A0252">
      <w:pPr>
        <w:spacing w:before="120" w:line="360" w:lineRule="auto"/>
        <w:ind w:firstLine="708"/>
        <w:jc w:val="both"/>
      </w:pPr>
    </w:p>
    <w:p w:rsidR="00D627F0" w:rsidRPr="00FB175B" w:rsidRDefault="00D627F0" w:rsidP="0058215B">
      <w:pPr>
        <w:ind w:left="3540"/>
        <w:jc w:val="center"/>
      </w:pPr>
    </w:p>
    <w:p w:rsidR="0058215B" w:rsidRPr="00FB175B" w:rsidRDefault="009E4BC1" w:rsidP="009E60E1">
      <w:pPr>
        <w:spacing w:line="336" w:lineRule="auto"/>
        <w:ind w:left="3540"/>
        <w:jc w:val="center"/>
        <w:rPr>
          <w:rFonts w:eastAsia="Calibri"/>
          <w:lang w:eastAsia="en-US"/>
        </w:rPr>
      </w:pPr>
      <w:r w:rsidRPr="00FB175B">
        <w:t xml:space="preserve"> </w:t>
      </w:r>
      <w:r w:rsidR="0058215B" w:rsidRPr="00FB175B">
        <w:rPr>
          <w:rFonts w:eastAsia="Calibri"/>
          <w:lang w:eastAsia="en-US"/>
        </w:rPr>
        <w:t xml:space="preserve">Kierownik Działu Dydaktycznego </w:t>
      </w:r>
    </w:p>
    <w:p w:rsidR="00435692" w:rsidRPr="00FB175B" w:rsidRDefault="00435692" w:rsidP="009E60E1">
      <w:pPr>
        <w:spacing w:line="336" w:lineRule="auto"/>
        <w:ind w:left="3540"/>
        <w:jc w:val="center"/>
        <w:rPr>
          <w:rFonts w:eastAsia="Calibri"/>
          <w:lang w:eastAsia="en-US"/>
        </w:rPr>
      </w:pPr>
      <w:r w:rsidRPr="00FB175B">
        <w:rPr>
          <w:rFonts w:eastAsia="Calibri"/>
          <w:lang w:eastAsia="en-US"/>
        </w:rPr>
        <w:t>Ośrodka Aplikacji Sędziowskiej</w:t>
      </w:r>
    </w:p>
    <w:p w:rsidR="0058215B" w:rsidRPr="00FB175B" w:rsidRDefault="0058215B" w:rsidP="009E60E1">
      <w:pPr>
        <w:spacing w:line="336" w:lineRule="auto"/>
        <w:ind w:left="3538"/>
        <w:jc w:val="center"/>
        <w:rPr>
          <w:rFonts w:eastAsia="Calibri"/>
          <w:lang w:eastAsia="en-US"/>
        </w:rPr>
      </w:pPr>
      <w:r w:rsidRPr="00FB175B">
        <w:rPr>
          <w:rFonts w:eastAsia="Calibri"/>
          <w:lang w:eastAsia="en-US"/>
        </w:rPr>
        <w:t xml:space="preserve">  dr </w:t>
      </w:r>
      <w:r w:rsidR="00BE3825" w:rsidRPr="00FB175B">
        <w:rPr>
          <w:rFonts w:eastAsia="Calibri"/>
          <w:lang w:eastAsia="en-US"/>
        </w:rPr>
        <w:t xml:space="preserve">Mariusz Kucharczyk </w:t>
      </w:r>
    </w:p>
    <w:p w:rsidR="0058215B" w:rsidRPr="00FB175B" w:rsidRDefault="0058215B" w:rsidP="009E60E1">
      <w:pPr>
        <w:spacing w:line="336" w:lineRule="auto"/>
        <w:ind w:left="3540"/>
        <w:jc w:val="center"/>
        <w:rPr>
          <w:rFonts w:eastAsia="Calibri"/>
          <w:lang w:eastAsia="en-US"/>
        </w:rPr>
      </w:pPr>
      <w:r w:rsidRPr="00FB175B">
        <w:rPr>
          <w:rFonts w:eastAsia="Calibri"/>
          <w:lang w:eastAsia="en-US"/>
        </w:rPr>
        <w:t xml:space="preserve">   sędzia</w:t>
      </w:r>
    </w:p>
    <w:sectPr w:rsidR="0058215B" w:rsidRPr="00FB175B" w:rsidSect="002617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29A" w:rsidRDefault="00F7229A">
      <w:r>
        <w:separator/>
      </w:r>
    </w:p>
  </w:endnote>
  <w:endnote w:type="continuationSeparator" w:id="0">
    <w:p w:rsidR="00F7229A" w:rsidRDefault="00F7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97E64">
      <w:rPr>
        <w:noProof/>
      </w:rPr>
      <w:t>2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29A" w:rsidRDefault="00F7229A">
      <w:r>
        <w:separator/>
      </w:r>
    </w:p>
  </w:footnote>
  <w:footnote w:type="continuationSeparator" w:id="0">
    <w:p w:rsidR="00F7229A" w:rsidRDefault="00F7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Default="00BB46D8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981"/>
    <w:multiLevelType w:val="hybridMultilevel"/>
    <w:tmpl w:val="50E6188A"/>
    <w:lvl w:ilvl="0" w:tplc="CB449C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F52"/>
    <w:multiLevelType w:val="hybridMultilevel"/>
    <w:tmpl w:val="42F65F72"/>
    <w:lvl w:ilvl="0" w:tplc="54A24CB4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EE7C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CC1D8D"/>
    <w:multiLevelType w:val="hybridMultilevel"/>
    <w:tmpl w:val="C200312A"/>
    <w:lvl w:ilvl="0" w:tplc="31E8FB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AC4CB4"/>
    <w:multiLevelType w:val="hybridMultilevel"/>
    <w:tmpl w:val="FABEFC90"/>
    <w:lvl w:ilvl="0" w:tplc="B4583EF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04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744" w:hanging="360"/>
      </w:pPr>
    </w:lvl>
    <w:lvl w:ilvl="4" w:tplc="04150019">
      <w:start w:val="1"/>
      <w:numFmt w:val="lowerLetter"/>
      <w:lvlText w:val="%5."/>
      <w:lvlJc w:val="left"/>
      <w:pPr>
        <w:ind w:left="3464" w:hanging="360"/>
      </w:pPr>
    </w:lvl>
    <w:lvl w:ilvl="5" w:tplc="0415001B">
      <w:start w:val="1"/>
      <w:numFmt w:val="lowerRoman"/>
      <w:lvlText w:val="%6."/>
      <w:lvlJc w:val="right"/>
      <w:pPr>
        <w:ind w:left="4184" w:hanging="180"/>
      </w:pPr>
    </w:lvl>
    <w:lvl w:ilvl="6" w:tplc="0415000F">
      <w:start w:val="1"/>
      <w:numFmt w:val="decimal"/>
      <w:lvlText w:val="%7."/>
      <w:lvlJc w:val="left"/>
      <w:pPr>
        <w:ind w:left="4904" w:hanging="360"/>
      </w:pPr>
    </w:lvl>
    <w:lvl w:ilvl="7" w:tplc="04150019">
      <w:start w:val="1"/>
      <w:numFmt w:val="lowerLetter"/>
      <w:lvlText w:val="%8."/>
      <w:lvlJc w:val="left"/>
      <w:pPr>
        <w:ind w:left="5624" w:hanging="360"/>
      </w:pPr>
    </w:lvl>
    <w:lvl w:ilvl="8" w:tplc="0415001B">
      <w:start w:val="1"/>
      <w:numFmt w:val="lowerRoman"/>
      <w:lvlText w:val="%9."/>
      <w:lvlJc w:val="right"/>
      <w:pPr>
        <w:ind w:left="6344" w:hanging="180"/>
      </w:pPr>
    </w:lvl>
  </w:abstractNum>
  <w:abstractNum w:abstractNumId="12" w15:restartNumberingAfterBreak="0">
    <w:nsid w:val="444373FA"/>
    <w:multiLevelType w:val="hybridMultilevel"/>
    <w:tmpl w:val="FE6AD2BE"/>
    <w:lvl w:ilvl="0" w:tplc="3ED26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D0393B"/>
    <w:multiLevelType w:val="hybridMultilevel"/>
    <w:tmpl w:val="9F82BBE2"/>
    <w:lvl w:ilvl="0" w:tplc="69A092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531352D7"/>
    <w:multiLevelType w:val="hybridMultilevel"/>
    <w:tmpl w:val="6D90B1A8"/>
    <w:lvl w:ilvl="0" w:tplc="31E8FB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3ED263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803C5C"/>
    <w:multiLevelType w:val="hybridMultilevel"/>
    <w:tmpl w:val="92A088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417C2"/>
    <w:multiLevelType w:val="hybridMultilevel"/>
    <w:tmpl w:val="394ED860"/>
    <w:lvl w:ilvl="0" w:tplc="93F0D994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25909BD"/>
    <w:multiLevelType w:val="hybridMultilevel"/>
    <w:tmpl w:val="93024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4647D"/>
    <w:multiLevelType w:val="hybridMultilevel"/>
    <w:tmpl w:val="5A306966"/>
    <w:lvl w:ilvl="0" w:tplc="077A39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C5763"/>
    <w:multiLevelType w:val="hybridMultilevel"/>
    <w:tmpl w:val="35AEB0F0"/>
    <w:lvl w:ilvl="0" w:tplc="692886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5"/>
  </w:num>
  <w:num w:numId="9">
    <w:abstractNumId w:val="8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13"/>
  </w:num>
  <w:num w:numId="12">
    <w:abstractNumId w:val="16"/>
  </w:num>
  <w:num w:numId="13">
    <w:abstractNumId w:val="2"/>
  </w:num>
  <w:num w:numId="14">
    <w:abstractNumId w:val="5"/>
  </w:num>
  <w:num w:numId="15">
    <w:abstractNumId w:val="17"/>
  </w:num>
  <w:num w:numId="16">
    <w:abstractNumId w:val="25"/>
  </w:num>
  <w:num w:numId="17">
    <w:abstractNumId w:val="14"/>
  </w:num>
  <w:num w:numId="18">
    <w:abstractNumId w:val="19"/>
  </w:num>
  <w:num w:numId="19">
    <w:abstractNumId w:val="24"/>
  </w:num>
  <w:num w:numId="20">
    <w:abstractNumId w:val="0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2"/>
  </w:num>
  <w:num w:numId="27">
    <w:abstractNumId w:val="18"/>
  </w:num>
  <w:num w:numId="28">
    <w:abstractNumId w:val="4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8D"/>
    <w:rsid w:val="0001101F"/>
    <w:rsid w:val="00034D71"/>
    <w:rsid w:val="000502C8"/>
    <w:rsid w:val="0007211A"/>
    <w:rsid w:val="00097D85"/>
    <w:rsid w:val="000A1EFE"/>
    <w:rsid w:val="000A2478"/>
    <w:rsid w:val="000C4D1F"/>
    <w:rsid w:val="000F0C83"/>
    <w:rsid w:val="001105BD"/>
    <w:rsid w:val="001158FA"/>
    <w:rsid w:val="001260C2"/>
    <w:rsid w:val="001439F2"/>
    <w:rsid w:val="001535EF"/>
    <w:rsid w:val="0017082E"/>
    <w:rsid w:val="0018057A"/>
    <w:rsid w:val="001B1F65"/>
    <w:rsid w:val="001D612D"/>
    <w:rsid w:val="001F0DE2"/>
    <w:rsid w:val="00201A36"/>
    <w:rsid w:val="00204292"/>
    <w:rsid w:val="00221985"/>
    <w:rsid w:val="0025331C"/>
    <w:rsid w:val="00257FA6"/>
    <w:rsid w:val="00261798"/>
    <w:rsid w:val="00266DF5"/>
    <w:rsid w:val="00285828"/>
    <w:rsid w:val="00287A8D"/>
    <w:rsid w:val="002E67D3"/>
    <w:rsid w:val="002F2CB0"/>
    <w:rsid w:val="00303ABB"/>
    <w:rsid w:val="00372C6F"/>
    <w:rsid w:val="003961FD"/>
    <w:rsid w:val="003976C9"/>
    <w:rsid w:val="003C24A3"/>
    <w:rsid w:val="003C548A"/>
    <w:rsid w:val="003E6968"/>
    <w:rsid w:val="004020A3"/>
    <w:rsid w:val="00435692"/>
    <w:rsid w:val="00453544"/>
    <w:rsid w:val="00454444"/>
    <w:rsid w:val="00460F2D"/>
    <w:rsid w:val="004619F7"/>
    <w:rsid w:val="004655B2"/>
    <w:rsid w:val="004717E1"/>
    <w:rsid w:val="00487989"/>
    <w:rsid w:val="004955D0"/>
    <w:rsid w:val="004963E2"/>
    <w:rsid w:val="004B5F62"/>
    <w:rsid w:val="004C2C6A"/>
    <w:rsid w:val="004D6A0F"/>
    <w:rsid w:val="004E1F7C"/>
    <w:rsid w:val="0050710D"/>
    <w:rsid w:val="00514063"/>
    <w:rsid w:val="0053188B"/>
    <w:rsid w:val="0054400E"/>
    <w:rsid w:val="00556A1E"/>
    <w:rsid w:val="005814DD"/>
    <w:rsid w:val="0058215B"/>
    <w:rsid w:val="005864BB"/>
    <w:rsid w:val="0059529A"/>
    <w:rsid w:val="00597E64"/>
    <w:rsid w:val="005A63FF"/>
    <w:rsid w:val="005B5162"/>
    <w:rsid w:val="005C7F40"/>
    <w:rsid w:val="005E1B7F"/>
    <w:rsid w:val="006259B0"/>
    <w:rsid w:val="00642192"/>
    <w:rsid w:val="00643965"/>
    <w:rsid w:val="00657A5D"/>
    <w:rsid w:val="0066240C"/>
    <w:rsid w:val="006A0252"/>
    <w:rsid w:val="006B6150"/>
    <w:rsid w:val="006B6B78"/>
    <w:rsid w:val="006C2C02"/>
    <w:rsid w:val="006C31F8"/>
    <w:rsid w:val="00723B4B"/>
    <w:rsid w:val="0072431F"/>
    <w:rsid w:val="00737451"/>
    <w:rsid w:val="00776220"/>
    <w:rsid w:val="00781288"/>
    <w:rsid w:val="007A0EF0"/>
    <w:rsid w:val="007A4DDF"/>
    <w:rsid w:val="007D3B03"/>
    <w:rsid w:val="00805F25"/>
    <w:rsid w:val="00811FD4"/>
    <w:rsid w:val="008333CC"/>
    <w:rsid w:val="00854268"/>
    <w:rsid w:val="00854696"/>
    <w:rsid w:val="008643C4"/>
    <w:rsid w:val="00871F32"/>
    <w:rsid w:val="008F6844"/>
    <w:rsid w:val="008F776D"/>
    <w:rsid w:val="00910885"/>
    <w:rsid w:val="00917315"/>
    <w:rsid w:val="009201FF"/>
    <w:rsid w:val="009449BE"/>
    <w:rsid w:val="0096011F"/>
    <w:rsid w:val="00982BF4"/>
    <w:rsid w:val="009A2AD0"/>
    <w:rsid w:val="009B3C3E"/>
    <w:rsid w:val="009C1530"/>
    <w:rsid w:val="009E4BC1"/>
    <w:rsid w:val="009E60E1"/>
    <w:rsid w:val="009E60EA"/>
    <w:rsid w:val="00A05649"/>
    <w:rsid w:val="00A06BD3"/>
    <w:rsid w:val="00A2638A"/>
    <w:rsid w:val="00A312F1"/>
    <w:rsid w:val="00A31672"/>
    <w:rsid w:val="00A321C2"/>
    <w:rsid w:val="00A8074B"/>
    <w:rsid w:val="00A84637"/>
    <w:rsid w:val="00A8661E"/>
    <w:rsid w:val="00AC70FF"/>
    <w:rsid w:val="00AD1E3F"/>
    <w:rsid w:val="00B21553"/>
    <w:rsid w:val="00BA112F"/>
    <w:rsid w:val="00BB46D8"/>
    <w:rsid w:val="00BD3830"/>
    <w:rsid w:val="00BE3825"/>
    <w:rsid w:val="00BF4267"/>
    <w:rsid w:val="00CA5ED3"/>
    <w:rsid w:val="00CB5DAB"/>
    <w:rsid w:val="00CC28B2"/>
    <w:rsid w:val="00CC349A"/>
    <w:rsid w:val="00CD0001"/>
    <w:rsid w:val="00CE537D"/>
    <w:rsid w:val="00CF4720"/>
    <w:rsid w:val="00D14E4A"/>
    <w:rsid w:val="00D17EEB"/>
    <w:rsid w:val="00D21ADC"/>
    <w:rsid w:val="00D462FC"/>
    <w:rsid w:val="00D627F0"/>
    <w:rsid w:val="00D831D3"/>
    <w:rsid w:val="00DC2718"/>
    <w:rsid w:val="00DE7763"/>
    <w:rsid w:val="00E07F98"/>
    <w:rsid w:val="00E2115C"/>
    <w:rsid w:val="00E32111"/>
    <w:rsid w:val="00E5763D"/>
    <w:rsid w:val="00E57F4E"/>
    <w:rsid w:val="00E60635"/>
    <w:rsid w:val="00E63A29"/>
    <w:rsid w:val="00E6655F"/>
    <w:rsid w:val="00E67575"/>
    <w:rsid w:val="00E706A9"/>
    <w:rsid w:val="00E76952"/>
    <w:rsid w:val="00EA0662"/>
    <w:rsid w:val="00EB3EAE"/>
    <w:rsid w:val="00EC4F8D"/>
    <w:rsid w:val="00ED31EF"/>
    <w:rsid w:val="00EE1949"/>
    <w:rsid w:val="00EF0125"/>
    <w:rsid w:val="00EF542D"/>
    <w:rsid w:val="00F056CC"/>
    <w:rsid w:val="00F7229A"/>
    <w:rsid w:val="00FA6D95"/>
    <w:rsid w:val="00FB175B"/>
    <w:rsid w:val="00FB1EEC"/>
    <w:rsid w:val="00FC238E"/>
    <w:rsid w:val="00FD096E"/>
    <w:rsid w:val="00FE1101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E27B5-A86D-43FF-89A2-24879C7B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character" w:customStyle="1" w:styleId="Teksttreci6">
    <w:name w:val="Tekst treści (6)_"/>
    <w:basedOn w:val="Domylnaczcionkaakapitu"/>
    <w:link w:val="Teksttreci60"/>
    <w:rsid w:val="005A63F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63FF"/>
    <w:pPr>
      <w:shd w:val="clear" w:color="auto" w:fill="FFFFFF"/>
      <w:spacing w:line="0" w:lineRule="atLeast"/>
    </w:pPr>
    <w:rPr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1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Pilch</dc:creator>
  <cp:lastModifiedBy>Małgorzata Gorczyca</cp:lastModifiedBy>
  <cp:revision>2</cp:revision>
  <cp:lastPrinted>2022-05-26T11:21:00Z</cp:lastPrinted>
  <dcterms:created xsi:type="dcterms:W3CDTF">2022-06-03T10:14:00Z</dcterms:created>
  <dcterms:modified xsi:type="dcterms:W3CDTF">2022-06-03T10:14:00Z</dcterms:modified>
</cp:coreProperties>
</file>