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5DC9" w:rsidRDefault="00355DC9" w:rsidP="00355DC9">
      <w:pPr>
        <w:spacing w:after="120"/>
        <w:rPr>
          <w:rFonts w:ascii="Times New Roman" w:eastAsia="Times New Roman" w:hAnsi="Times New Roman" w:cs="Times New Roman"/>
        </w:rPr>
      </w:pPr>
      <w:r>
        <w:t xml:space="preserve">                                                                                     Kraków, dnia </w:t>
      </w:r>
      <w:r w:rsidR="000104E0">
        <w:t>22 marca</w:t>
      </w:r>
      <w:r>
        <w:t xml:space="preserve"> 202</w:t>
      </w:r>
      <w:r w:rsidR="000104E0">
        <w:t>3</w:t>
      </w:r>
      <w:r>
        <w:t xml:space="preserve"> r</w:t>
      </w:r>
    </w:p>
    <w:p w:rsidR="00355DC9" w:rsidRDefault="00355DC9" w:rsidP="00355DC9">
      <w:pPr>
        <w:spacing w:after="120"/>
      </w:pPr>
      <w:r>
        <w:t>OAP-II.420.</w:t>
      </w:r>
      <w:r w:rsidR="000104E0">
        <w:t>9</w:t>
      </w:r>
      <w:r>
        <w:t>.</w:t>
      </w:r>
      <w:r w:rsidR="000104E0">
        <w:t>11</w:t>
      </w:r>
      <w:r>
        <w:t xml:space="preserve">.2022                                                                               </w:t>
      </w:r>
    </w:p>
    <w:p w:rsidR="00355DC9" w:rsidRDefault="00355DC9" w:rsidP="00355DC9">
      <w:pPr>
        <w:spacing w:after="120"/>
        <w:rPr>
          <w:b/>
        </w:rPr>
      </w:pPr>
      <w:r>
        <w:t xml:space="preserve">                                                                                      </w:t>
      </w:r>
      <w:r>
        <w:rPr>
          <w:b/>
        </w:rPr>
        <w:t>Patroni Koordynatorzy</w:t>
      </w:r>
    </w:p>
    <w:p w:rsidR="00355DC9" w:rsidRDefault="00355DC9" w:rsidP="00355DC9">
      <w:pPr>
        <w:spacing w:after="120"/>
        <w:rPr>
          <w:b/>
        </w:rPr>
      </w:pPr>
      <w:r>
        <w:rPr>
          <w:b/>
        </w:rPr>
        <w:t xml:space="preserve">                                                                                      oraz Patroni Praktyk</w:t>
      </w:r>
    </w:p>
    <w:p w:rsidR="00355DC9" w:rsidRDefault="00355DC9" w:rsidP="00355DC9">
      <w:pPr>
        <w:spacing w:after="120"/>
        <w:rPr>
          <w:b/>
        </w:rPr>
      </w:pPr>
      <w:r>
        <w:rPr>
          <w:b/>
        </w:rPr>
        <w:t xml:space="preserve">                                                                                      aplikantów aplikacji prokuratorskiej</w:t>
      </w:r>
    </w:p>
    <w:p w:rsidR="00355DC9" w:rsidRDefault="00355DC9" w:rsidP="00355DC9">
      <w:pPr>
        <w:spacing w:after="120"/>
      </w:pPr>
      <w:r>
        <w:t xml:space="preserve">                                                                                                                                                                         </w:t>
      </w:r>
    </w:p>
    <w:p w:rsidR="00355DC9" w:rsidRDefault="00355DC9" w:rsidP="00355DC9">
      <w:pPr>
        <w:spacing w:after="120"/>
        <w:rPr>
          <w:b/>
          <w:i/>
        </w:rPr>
      </w:pPr>
      <w:r>
        <w:rPr>
          <w:b/>
          <w:i/>
        </w:rPr>
        <w:t>Dotyczy:  praktyk aplikantów aplikacji prokuratorskiej XII</w:t>
      </w:r>
      <w:r w:rsidR="000104E0">
        <w:rPr>
          <w:b/>
          <w:i/>
        </w:rPr>
        <w:t xml:space="preserve">I </w:t>
      </w:r>
      <w:r>
        <w:rPr>
          <w:b/>
          <w:i/>
        </w:rPr>
        <w:t xml:space="preserve"> rocznika po</w:t>
      </w:r>
      <w:r w:rsidR="000104E0">
        <w:rPr>
          <w:b/>
          <w:i/>
        </w:rPr>
        <w:t xml:space="preserve"> 18 </w:t>
      </w:r>
      <w:r>
        <w:rPr>
          <w:b/>
          <w:i/>
        </w:rPr>
        <w:t>zjeździe</w:t>
      </w:r>
    </w:p>
    <w:p w:rsidR="00355DC9" w:rsidRDefault="00355DC9" w:rsidP="00355DC9">
      <w:pPr>
        <w:spacing w:after="120"/>
        <w:rPr>
          <w:b/>
          <w:i/>
        </w:rPr>
      </w:pPr>
    </w:p>
    <w:p w:rsidR="00355DC9" w:rsidRDefault="00355DC9" w:rsidP="00355DC9">
      <w:pPr>
        <w:spacing w:after="120"/>
        <w:ind w:firstLine="708"/>
        <w:jc w:val="both"/>
      </w:pPr>
      <w:r>
        <w:t xml:space="preserve">W oparciu o § </w:t>
      </w:r>
      <w:r w:rsidR="009D3D92">
        <w:t>1 ust.2</w:t>
      </w:r>
      <w:r>
        <w:t xml:space="preserve"> zarządzenia Dyrektora Krajowej Szkoły Sądownictwa  i Prokuratury w Krakowie Nr </w:t>
      </w:r>
      <w:r w:rsidR="009D3D92">
        <w:t>539</w:t>
      </w:r>
      <w:r>
        <w:t>/20</w:t>
      </w:r>
      <w:r w:rsidR="009D3D92">
        <w:t>21</w:t>
      </w:r>
      <w:r>
        <w:t xml:space="preserve"> z dnia </w:t>
      </w:r>
      <w:r w:rsidR="009D3D92">
        <w:t>27 października</w:t>
      </w:r>
      <w:r>
        <w:t xml:space="preserve"> 20</w:t>
      </w:r>
      <w:r w:rsidR="009D3D92">
        <w:t>21</w:t>
      </w:r>
      <w:r>
        <w:t xml:space="preserve"> roku w sprawie szczegółowych zasad odbywania praktyki przez aplikantów aplikacji sędziowskiej i </w:t>
      </w:r>
      <w:r w:rsidR="009D3D92">
        <w:t xml:space="preserve">aplikacji </w:t>
      </w:r>
      <w:bookmarkStart w:id="0" w:name="_GoBack"/>
      <w:bookmarkEnd w:id="0"/>
      <w:r>
        <w:t xml:space="preserve">prokuratorskiej, uprzejmie przedstawiam szczegółowy zakres tematyczny, który powinien być przedmiotem praktyk aplikantów aplikacji prokuratorskiej odbywanych w dniach </w:t>
      </w:r>
      <w:r w:rsidRPr="000104E0">
        <w:rPr>
          <w:b/>
        </w:rPr>
        <w:t xml:space="preserve">od </w:t>
      </w:r>
      <w:r w:rsidR="000104E0" w:rsidRPr="000104E0">
        <w:rPr>
          <w:b/>
        </w:rPr>
        <w:t>4 do 22 września</w:t>
      </w:r>
      <w:r w:rsidRPr="000104E0">
        <w:rPr>
          <w:b/>
        </w:rPr>
        <w:t xml:space="preserve"> 202</w:t>
      </w:r>
      <w:r w:rsidR="000104E0" w:rsidRPr="000104E0">
        <w:rPr>
          <w:b/>
        </w:rPr>
        <w:t>3</w:t>
      </w:r>
      <w:r w:rsidRPr="000104E0">
        <w:rPr>
          <w:b/>
        </w:rPr>
        <w:t xml:space="preserve"> roku w prokuraturach rejonowych</w:t>
      </w:r>
      <w:r>
        <w:t>.</w:t>
      </w:r>
    </w:p>
    <w:p w:rsidR="00355DC9" w:rsidRDefault="00355DC9" w:rsidP="00355DC9">
      <w:pPr>
        <w:spacing w:after="120"/>
        <w:ind w:firstLine="708"/>
        <w:jc w:val="both"/>
      </w:pPr>
    </w:p>
    <w:p w:rsidR="00355DC9" w:rsidRDefault="00355DC9" w:rsidP="00355DC9">
      <w:pPr>
        <w:spacing w:after="120"/>
        <w:ind w:firstLine="708"/>
        <w:jc w:val="both"/>
        <w:rPr>
          <w:b/>
        </w:rPr>
      </w:pPr>
      <w:r>
        <w:rPr>
          <w:b/>
        </w:rPr>
        <w:t xml:space="preserve">Zasadniczym celem </w:t>
      </w:r>
      <w:r w:rsidR="00294B5B">
        <w:rPr>
          <w:b/>
        </w:rPr>
        <w:t xml:space="preserve">niniejszej </w:t>
      </w:r>
      <w:r>
        <w:rPr>
          <w:b/>
        </w:rPr>
        <w:t xml:space="preserve">praktyki jest utrwalenie umiejętności oceny wyroku łącznego        i  sporządzania apelacji od takiego wyroku. </w:t>
      </w:r>
    </w:p>
    <w:p w:rsidR="00355DC9" w:rsidRDefault="00355DC9" w:rsidP="00355DC9">
      <w:pPr>
        <w:spacing w:after="120"/>
        <w:ind w:firstLine="708"/>
        <w:jc w:val="both"/>
        <w:rPr>
          <w:b/>
        </w:rPr>
      </w:pPr>
    </w:p>
    <w:p w:rsidR="00355DC9" w:rsidRPr="00225276" w:rsidRDefault="00355DC9" w:rsidP="00294B5B">
      <w:pPr>
        <w:spacing w:after="120"/>
        <w:ind w:firstLine="708"/>
        <w:jc w:val="both"/>
        <w:rPr>
          <w:b/>
        </w:rPr>
      </w:pPr>
      <w:r w:rsidRPr="00225276">
        <w:rPr>
          <w:b/>
        </w:rPr>
        <w:t xml:space="preserve">Podczas praktyk w prokuraturach rejonowych patroni praktyk powinni zadbać o to, aby aplikanci mieli możliwość </w:t>
      </w:r>
      <w:r w:rsidR="00294B5B" w:rsidRPr="00225276">
        <w:rPr>
          <w:b/>
        </w:rPr>
        <w:t>:</w:t>
      </w:r>
    </w:p>
    <w:p w:rsidR="00294B5B" w:rsidRDefault="00294B5B" w:rsidP="00294B5B">
      <w:pPr>
        <w:pStyle w:val="Akapitzlist"/>
        <w:numPr>
          <w:ilvl w:val="0"/>
          <w:numId w:val="4"/>
        </w:numPr>
        <w:spacing w:after="120"/>
        <w:jc w:val="both"/>
      </w:pPr>
      <w:r>
        <w:t xml:space="preserve">opracowania projektów 4 apelacji od wyroku łącznego </w:t>
      </w:r>
    </w:p>
    <w:p w:rsidR="00355DC9" w:rsidRDefault="00294B5B" w:rsidP="00294B5B">
      <w:pPr>
        <w:pStyle w:val="Akapitzlist"/>
        <w:numPr>
          <w:ilvl w:val="0"/>
          <w:numId w:val="4"/>
        </w:numPr>
        <w:spacing w:after="120"/>
        <w:jc w:val="both"/>
      </w:pPr>
      <w:r>
        <w:t xml:space="preserve">konstruowania </w:t>
      </w:r>
      <w:r w:rsidR="00355DC9">
        <w:t xml:space="preserve"> propozycji kary łącznej;         </w:t>
      </w:r>
    </w:p>
    <w:p w:rsidR="00355DC9" w:rsidRDefault="00355DC9" w:rsidP="00355DC9">
      <w:pPr>
        <w:spacing w:after="120"/>
        <w:ind w:firstLine="708"/>
        <w:jc w:val="both"/>
      </w:pPr>
    </w:p>
    <w:p w:rsidR="00355DC9" w:rsidRDefault="00355DC9" w:rsidP="00355DC9">
      <w:pPr>
        <w:spacing w:after="120"/>
        <w:ind w:firstLine="708"/>
        <w:jc w:val="both"/>
        <w:rPr>
          <w:b/>
        </w:rPr>
      </w:pPr>
      <w:r>
        <w:rPr>
          <w:b/>
        </w:rPr>
        <w:t xml:space="preserve">      Uprzejmie informuję, że przedmiotem sprawdzianu, który aplikanci będą pisać  po odbyciu praktyki będzie sporządzenie projektu apelacji od wyroku łącznego, dlatego ważne jest, aby aplikanci podczas praktyk opanowali tę umiejętność, w jak najwyższym stopniu.</w:t>
      </w:r>
    </w:p>
    <w:p w:rsidR="00355DC9" w:rsidRDefault="00355DC9" w:rsidP="00355DC9">
      <w:pPr>
        <w:spacing w:after="120"/>
        <w:ind w:firstLine="708"/>
        <w:jc w:val="both"/>
        <w:rPr>
          <w:b/>
        </w:rPr>
      </w:pPr>
    </w:p>
    <w:p w:rsidR="00355DC9" w:rsidRDefault="00355DC9" w:rsidP="00355DC9">
      <w:pPr>
        <w:spacing w:after="120"/>
        <w:jc w:val="both"/>
      </w:pPr>
    </w:p>
    <w:p w:rsidR="00355DC9" w:rsidRDefault="00355DC9" w:rsidP="00355DC9">
      <w:pPr>
        <w:spacing w:after="120"/>
        <w:jc w:val="center"/>
        <w:rPr>
          <w:b/>
        </w:rPr>
      </w:pPr>
      <w:r>
        <w:rPr>
          <w:b/>
        </w:rPr>
        <w:t xml:space="preserve">Kierownik </w:t>
      </w:r>
    </w:p>
    <w:p w:rsidR="00355DC9" w:rsidRDefault="00355DC9" w:rsidP="00355DC9">
      <w:pPr>
        <w:spacing w:after="120"/>
        <w:jc w:val="center"/>
        <w:rPr>
          <w:b/>
        </w:rPr>
      </w:pPr>
      <w:r>
        <w:rPr>
          <w:b/>
        </w:rPr>
        <w:t>Działu Dydaktycznego</w:t>
      </w:r>
    </w:p>
    <w:p w:rsidR="00355DC9" w:rsidRDefault="00355DC9" w:rsidP="00355DC9">
      <w:pPr>
        <w:spacing w:after="120"/>
        <w:jc w:val="center"/>
        <w:rPr>
          <w:b/>
        </w:rPr>
      </w:pPr>
      <w:r>
        <w:rPr>
          <w:b/>
        </w:rPr>
        <w:t>w Ośrodku Aplikacji Prokuratorskiej</w:t>
      </w:r>
    </w:p>
    <w:p w:rsidR="00355DC9" w:rsidRDefault="00355DC9" w:rsidP="00355DC9">
      <w:pPr>
        <w:spacing w:after="120"/>
        <w:jc w:val="center"/>
        <w:rPr>
          <w:b/>
        </w:rPr>
      </w:pPr>
    </w:p>
    <w:p w:rsidR="00355DC9" w:rsidRDefault="00355DC9" w:rsidP="00355DC9">
      <w:pPr>
        <w:spacing w:after="120"/>
        <w:jc w:val="center"/>
        <w:rPr>
          <w:b/>
        </w:rPr>
      </w:pPr>
      <w:r>
        <w:rPr>
          <w:b/>
        </w:rPr>
        <w:t>Marta Zin</w:t>
      </w:r>
    </w:p>
    <w:p w:rsidR="00355DC9" w:rsidRDefault="00355DC9" w:rsidP="00355DC9">
      <w:pPr>
        <w:spacing w:after="120"/>
        <w:jc w:val="center"/>
      </w:pPr>
      <w:r>
        <w:rPr>
          <w:b/>
        </w:rPr>
        <w:t>prokurator</w:t>
      </w:r>
    </w:p>
    <w:p w:rsidR="000B4076" w:rsidRDefault="000B4076" w:rsidP="00C568A4"/>
    <w:p w:rsidR="000104E0" w:rsidRDefault="000104E0" w:rsidP="00C568A4">
      <w:r w:rsidRPr="000104E0">
        <w:rPr>
          <w:u w:val="single"/>
        </w:rPr>
        <w:t>Załącznik do zaleceń do praktyk po 18 zjeździe XIII rocznika aplikacji prokuratorskiej</w:t>
      </w:r>
      <w:r>
        <w:t>:</w:t>
      </w:r>
    </w:p>
    <w:p w:rsidR="000104E0" w:rsidRDefault="000104E0" w:rsidP="000104E0">
      <w:pPr>
        <w:spacing w:after="120"/>
        <w:ind w:firstLine="708"/>
        <w:jc w:val="both"/>
      </w:pPr>
      <w:r>
        <w:t xml:space="preserve">Przedmiotem 18. zjazdu aplikacji prokuratorskiej, który  odbędzie się   w  dniach od 28 sierpnia do 1 września 2023 roku będą  następujące zagadnienia:                            </w:t>
      </w:r>
      <w:r>
        <w:tab/>
      </w:r>
      <w:r>
        <w:tab/>
      </w:r>
      <w:r>
        <w:tab/>
      </w:r>
    </w:p>
    <w:p w:rsidR="000104E0" w:rsidRDefault="000104E0" w:rsidP="000104E0">
      <w:pPr>
        <w:spacing w:after="120"/>
        <w:jc w:val="both"/>
      </w:pPr>
      <w:r>
        <w:t>- prawo karne materialne: kara łączna i wyrok łączny;</w:t>
      </w:r>
    </w:p>
    <w:p w:rsidR="000104E0" w:rsidRDefault="000104E0" w:rsidP="000104E0">
      <w:pPr>
        <w:spacing w:after="120"/>
        <w:jc w:val="both"/>
      </w:pPr>
      <w:r>
        <w:t>- pozakodeksowe przepisy karne, w szczególności: ustawa o przeciwdziałaniu narkomanii, ustawy m.in. o ochronie zabytków i opiece nad zabytkami, o broni i amunicji, Prawo łowieckie, o rybactwie śródlądowym, o przeciwdziałaniu alkoholizmowi i inne (dobór uzależniony od aktualnych tendencji rozwoju przestępczości);</w:t>
      </w:r>
    </w:p>
    <w:p w:rsidR="000104E0" w:rsidRDefault="000104E0" w:rsidP="000104E0">
      <w:pPr>
        <w:spacing w:after="120"/>
        <w:jc w:val="both"/>
      </w:pPr>
      <w:r>
        <w:t>- wybrane przestępstwa gospodarcze – przestępstwa przeciwko obrotowi gospodarczemu (przestępstwo nadużycia zaufania, przekupstwo i sprzedajność menadżerów), oszustwa gospodarcze (oszustwo kapitałowe, oszustwo ubezpieczeniowe, utrudnianie przetargu), przestępstwo prania brudnych pieniędzy, przestępstwa z ustawy o przeciwdziałaniu praniu pieniędzy oraz finansowaniu terroryzmu, przestępstwa dłużnicze (przestępstwo niezaspokojenia wierzyciela – art. 300 k.k., przestępstwo wytransferowania majątku przez dłużnika – art. 301 § 1 k.k., przestępstwo bankructwa dłużników – art. 301 § 2 i 3 k.k., przestępstwo korumpowania wierzycieli – art. 302 k.k., przestępstwo nieprowadzenia dokumentacji działalności gospodarczej albo prowadzenia jej w sposób nierzetelny lub niezgodny z prawdą – art. 303 k.k., przestępstwo lichwy – art. 304 k.k.)</w:t>
      </w:r>
    </w:p>
    <w:p w:rsidR="000104E0" w:rsidRDefault="000104E0" w:rsidP="000104E0">
      <w:pPr>
        <w:spacing w:after="120"/>
        <w:jc w:val="both"/>
      </w:pPr>
      <w:r>
        <w:t>- kryminalistyka: kryminalistyczne aspekty przestępstw z wykorzystaniem narzędzi informatycznych; przeszukanie urządzeń zawierających dane informatyczne; dowód (ślad) cyfrowy; typowe przestępstwa popełniane z wykorzystaniem narzędzi cyfrowych; analiza kryminalna i ekspertyzy dotyczące śladów cyfrowych.</w:t>
      </w:r>
    </w:p>
    <w:p w:rsidR="000104E0" w:rsidRDefault="000104E0" w:rsidP="000104E0">
      <w:pPr>
        <w:spacing w:after="120"/>
        <w:ind w:firstLine="708"/>
        <w:jc w:val="both"/>
      </w:pPr>
      <w:r>
        <w:tab/>
      </w:r>
    </w:p>
    <w:p w:rsidR="000104E0" w:rsidRPr="00C568A4" w:rsidRDefault="000104E0" w:rsidP="00C568A4"/>
    <w:sectPr w:rsidR="000104E0" w:rsidRPr="00C568A4" w:rsidSect="003D147B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418" w:right="1418" w:bottom="1560" w:left="1418" w:header="568" w:footer="49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7006" w:rsidRDefault="00217006">
      <w:pPr>
        <w:spacing w:after="0" w:line="240" w:lineRule="auto"/>
      </w:pPr>
      <w:r>
        <w:separator/>
      </w:r>
    </w:p>
  </w:endnote>
  <w:endnote w:type="continuationSeparator" w:id="0">
    <w:p w:rsidR="00217006" w:rsidRDefault="002170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hruti">
    <w:panose1 w:val="02000500000000000000"/>
    <w:charset w:val="01"/>
    <w:family w:val="roman"/>
    <w:notTrueType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510F" w:rsidRDefault="005C1373">
    <w:pPr>
      <w:pStyle w:val="Stopka"/>
    </w:pPr>
    <w:r>
      <w:fldChar w:fldCharType="begin"/>
    </w:r>
    <w:r>
      <w:instrText xml:space="preserve"> PAGE   \* MERGEFORMAT </w:instrText>
    </w:r>
    <w:r>
      <w:fldChar w:fldCharType="separate"/>
    </w:r>
    <w:r w:rsidR="00C568A4">
      <w:rPr>
        <w:noProof/>
      </w:rPr>
      <w:t>3</w:t>
    </w:r>
    <w:r>
      <w:rPr>
        <w:noProof/>
      </w:rPr>
      <w:fldChar w:fldCharType="end"/>
    </w:r>
  </w:p>
  <w:p w:rsidR="001B510F" w:rsidRDefault="0021700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1987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099"/>
    </w:tblGrid>
    <w:tr w:rsidR="001B510F" w:rsidTr="003D147B">
      <w:trPr>
        <w:trHeight w:val="23"/>
      </w:trPr>
      <w:tc>
        <w:tcPr>
          <w:tcW w:w="5099" w:type="dxa"/>
          <w:tcBorders>
            <w:top w:val="thinThickSmallGap" w:sz="12" w:space="0" w:color="auto"/>
          </w:tcBorders>
        </w:tcPr>
        <w:p w:rsidR="001B510F" w:rsidRPr="0074505E" w:rsidRDefault="00217006" w:rsidP="003D147B">
          <w:pPr>
            <w:pStyle w:val="Stopka"/>
            <w:rPr>
              <w:sz w:val="4"/>
              <w:szCs w:val="4"/>
            </w:rPr>
          </w:pPr>
        </w:p>
      </w:tc>
    </w:tr>
  </w:tbl>
  <w:p w:rsidR="001B510F" w:rsidRPr="00A944C8" w:rsidRDefault="005C1373" w:rsidP="000828FB">
    <w:pPr>
      <w:pStyle w:val="Stopka"/>
      <w:jc w:val="center"/>
      <w:rPr>
        <w:sz w:val="18"/>
        <w:szCs w:val="18"/>
      </w:rPr>
    </w:pPr>
    <w:r w:rsidRPr="00A944C8">
      <w:rPr>
        <w:sz w:val="18"/>
        <w:szCs w:val="18"/>
      </w:rPr>
      <w:t>Krajowa Szkoła Sądownictwa i Prokuratury</w:t>
    </w:r>
  </w:p>
  <w:p w:rsidR="001B510F" w:rsidRPr="00A944C8" w:rsidRDefault="005C1373" w:rsidP="000828FB">
    <w:pPr>
      <w:pStyle w:val="Stopka"/>
      <w:jc w:val="center"/>
      <w:rPr>
        <w:sz w:val="18"/>
        <w:szCs w:val="18"/>
      </w:rPr>
    </w:pPr>
    <w:r w:rsidRPr="00A944C8">
      <w:rPr>
        <w:sz w:val="18"/>
        <w:szCs w:val="18"/>
      </w:rPr>
      <w:t>ul. Przy Rondzie 5, 31-547 Kraków</w:t>
    </w:r>
  </w:p>
  <w:p w:rsidR="001B510F" w:rsidRDefault="00217006" w:rsidP="003D14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7006" w:rsidRDefault="00217006">
      <w:pPr>
        <w:spacing w:after="0" w:line="240" w:lineRule="auto"/>
      </w:pPr>
      <w:r>
        <w:separator/>
      </w:r>
    </w:p>
  </w:footnote>
  <w:footnote w:type="continuationSeparator" w:id="0">
    <w:p w:rsidR="00217006" w:rsidRDefault="002170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510F" w:rsidRPr="009B38B3" w:rsidRDefault="005C1373" w:rsidP="003D147B">
    <w:pPr>
      <w:pStyle w:val="Nagwek"/>
      <w:jc w:val="right"/>
      <w:rPr>
        <w:rFonts w:ascii="Century Gothic" w:hAnsi="Century Gothic"/>
        <w:sz w:val="16"/>
        <w:szCs w:val="16"/>
      </w:rPr>
    </w:pPr>
    <w:r w:rsidRPr="009B38B3">
      <w:rPr>
        <w:rFonts w:ascii="Century Gothic" w:hAnsi="Century Gothic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510F" w:rsidRDefault="005C1373" w:rsidP="003D147B">
    <w:pPr>
      <w:pStyle w:val="Nagwek"/>
      <w:tabs>
        <w:tab w:val="clear" w:pos="4536"/>
        <w:tab w:val="clear" w:pos="9072"/>
        <w:tab w:val="center" w:pos="1080"/>
        <w:tab w:val="left" w:pos="1440"/>
        <w:tab w:val="right" w:pos="5103"/>
        <w:tab w:val="left" w:pos="10527"/>
      </w:tabs>
      <w:ind w:left="-851" w:right="5526"/>
      <w:rPr>
        <w:rFonts w:ascii="Century Gothic" w:hAnsi="Century Gothic" w:cs="Shruti"/>
        <w:spacing w:val="20"/>
        <w:sz w:val="30"/>
        <w:szCs w:val="30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3E8C1DEB" wp14:editId="206492B8">
          <wp:simplePos x="0" y="0"/>
          <wp:positionH relativeFrom="column">
            <wp:posOffset>621665</wp:posOffset>
          </wp:positionH>
          <wp:positionV relativeFrom="paragraph">
            <wp:posOffset>-42545</wp:posOffset>
          </wp:positionV>
          <wp:extent cx="501015" cy="476885"/>
          <wp:effectExtent l="0" t="0" r="0" b="0"/>
          <wp:wrapNone/>
          <wp:docPr id="1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1015" cy="476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 w:cs="Shruti"/>
        <w:spacing w:val="20"/>
        <w:sz w:val="30"/>
        <w:szCs w:val="30"/>
      </w:rPr>
      <w:t xml:space="preserve">  </w:t>
    </w:r>
  </w:p>
  <w:p w:rsidR="001B510F" w:rsidRDefault="00217006" w:rsidP="003D147B">
    <w:pPr>
      <w:pStyle w:val="Nagwek"/>
      <w:ind w:right="4959"/>
      <w:jc w:val="center"/>
      <w:rPr>
        <w:b/>
      </w:rPr>
    </w:pPr>
  </w:p>
  <w:p w:rsidR="001B510F" w:rsidRPr="009E7ADE" w:rsidRDefault="00217006" w:rsidP="003D147B">
    <w:pPr>
      <w:pStyle w:val="Nagwek"/>
      <w:ind w:left="-851" w:right="5526"/>
      <w:jc w:val="center"/>
      <w:rPr>
        <w:b/>
        <w:sz w:val="8"/>
        <w:szCs w:val="8"/>
      </w:rPr>
    </w:pPr>
  </w:p>
  <w:p w:rsidR="001B510F" w:rsidRPr="00551ABF" w:rsidRDefault="005C1373" w:rsidP="003D147B">
    <w:pPr>
      <w:pStyle w:val="Nagwek"/>
      <w:ind w:left="-851" w:right="5526"/>
      <w:jc w:val="center"/>
      <w:rPr>
        <w:b/>
      </w:rPr>
    </w:pPr>
    <w:r w:rsidRPr="00551ABF">
      <w:rPr>
        <w:b/>
      </w:rPr>
      <w:t>KRAJOW</w:t>
    </w:r>
    <w:r>
      <w:rPr>
        <w:b/>
      </w:rPr>
      <w:t>A</w:t>
    </w:r>
    <w:r w:rsidRPr="00551ABF">
      <w:rPr>
        <w:b/>
      </w:rPr>
      <w:t xml:space="preserve"> SZKOŁ</w:t>
    </w:r>
    <w:r>
      <w:rPr>
        <w:b/>
      </w:rPr>
      <w:t>A</w:t>
    </w:r>
  </w:p>
  <w:p w:rsidR="001B510F" w:rsidRDefault="005C1373" w:rsidP="003D147B">
    <w:pPr>
      <w:pStyle w:val="Nagwek"/>
      <w:ind w:left="-851" w:right="5526"/>
      <w:jc w:val="center"/>
      <w:rPr>
        <w:b/>
      </w:rPr>
    </w:pPr>
    <w:r w:rsidRPr="00D021CB">
      <w:rPr>
        <w:b/>
      </w:rPr>
      <w:t>SĄDOWNICTWA I PROKURATURY</w:t>
    </w:r>
  </w:p>
  <w:p w:rsidR="00E20B98" w:rsidRPr="00D021CB" w:rsidRDefault="00217006" w:rsidP="003D147B">
    <w:pPr>
      <w:pStyle w:val="Nagwek"/>
      <w:ind w:left="-851" w:right="5526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9149C7"/>
    <w:multiLevelType w:val="hybridMultilevel"/>
    <w:tmpl w:val="1D243B9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CF1870"/>
    <w:multiLevelType w:val="hybridMultilevel"/>
    <w:tmpl w:val="D2EC37F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316D5A8E"/>
    <w:multiLevelType w:val="hybridMultilevel"/>
    <w:tmpl w:val="674079C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E40605"/>
    <w:multiLevelType w:val="hybridMultilevel"/>
    <w:tmpl w:val="EE7473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373"/>
    <w:rsid w:val="000104E0"/>
    <w:rsid w:val="000641D1"/>
    <w:rsid w:val="000B4076"/>
    <w:rsid w:val="00117C08"/>
    <w:rsid w:val="00211A0C"/>
    <w:rsid w:val="00217006"/>
    <w:rsid w:val="00225276"/>
    <w:rsid w:val="00294B5B"/>
    <w:rsid w:val="00313D8C"/>
    <w:rsid w:val="00344B32"/>
    <w:rsid w:val="00355DC9"/>
    <w:rsid w:val="00435CDB"/>
    <w:rsid w:val="00482F4C"/>
    <w:rsid w:val="005C1373"/>
    <w:rsid w:val="006241BE"/>
    <w:rsid w:val="009508D5"/>
    <w:rsid w:val="009D3D92"/>
    <w:rsid w:val="00BC1096"/>
    <w:rsid w:val="00C568A4"/>
    <w:rsid w:val="00C925A6"/>
    <w:rsid w:val="00D54004"/>
    <w:rsid w:val="00E512BB"/>
    <w:rsid w:val="00ED39E2"/>
    <w:rsid w:val="00F86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B88F1"/>
  <w15:docId w15:val="{52A5CAF7-248D-4AA8-A7A9-70C6C9642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508D5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5C1373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5C1373"/>
  </w:style>
  <w:style w:type="paragraph" w:styleId="Stopka">
    <w:name w:val="footer"/>
    <w:basedOn w:val="Normalny"/>
    <w:link w:val="StopkaZnak"/>
    <w:uiPriority w:val="99"/>
    <w:unhideWhenUsed/>
    <w:rsid w:val="005C1373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5C1373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508D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508D5"/>
    <w:rPr>
      <w:rFonts w:ascii="Calibri" w:eastAsia="Calibri" w:hAnsi="Calibri" w:cs="Calibr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508D5"/>
    <w:rPr>
      <w:vertAlign w:val="superscript"/>
    </w:rPr>
  </w:style>
  <w:style w:type="character" w:customStyle="1" w:styleId="markedcontent">
    <w:name w:val="markedcontent"/>
    <w:basedOn w:val="Domylnaczcionkaakapitu"/>
    <w:rsid w:val="006241BE"/>
  </w:style>
  <w:style w:type="paragraph" w:styleId="Akapitzlist">
    <w:name w:val="List Paragraph"/>
    <w:basedOn w:val="Normalny"/>
    <w:uiPriority w:val="34"/>
    <w:qFormat/>
    <w:rsid w:val="00294B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877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538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3764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Zin</dc:creator>
  <cp:lastModifiedBy>Agnieszka Kluczewska</cp:lastModifiedBy>
  <cp:revision>10</cp:revision>
  <dcterms:created xsi:type="dcterms:W3CDTF">2023-03-21T14:58:00Z</dcterms:created>
  <dcterms:modified xsi:type="dcterms:W3CDTF">2023-05-09T08:22:00Z</dcterms:modified>
</cp:coreProperties>
</file>