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8F" w:rsidRDefault="00FF6DF9" w:rsidP="007D4AA3">
      <w:pPr>
        <w:jc w:val="right"/>
      </w:pPr>
      <w:r w:rsidRPr="00876C73">
        <w:t xml:space="preserve">   </w:t>
      </w:r>
      <w:r w:rsidR="00DA4D81" w:rsidRPr="00876C73">
        <w:t xml:space="preserve"> </w:t>
      </w:r>
      <w:r w:rsidR="003A0DB5" w:rsidRPr="00876C73">
        <w:t>Kraków</w:t>
      </w:r>
      <w:r w:rsidR="00E20DFE" w:rsidRPr="00876C73">
        <w:t>,</w:t>
      </w:r>
      <w:r w:rsidR="003A0DB5" w:rsidRPr="00876C73">
        <w:t xml:space="preserve"> </w:t>
      </w:r>
      <w:r w:rsidR="006E3841">
        <w:t>2</w:t>
      </w:r>
      <w:r w:rsidR="00632AF4">
        <w:t>6</w:t>
      </w:r>
      <w:r w:rsidR="002A31A9" w:rsidRPr="00876C73">
        <w:t xml:space="preserve"> kwietnia</w:t>
      </w:r>
      <w:r w:rsidR="00AF45D6">
        <w:t xml:space="preserve"> </w:t>
      </w:r>
      <w:r w:rsidR="00B02348" w:rsidRPr="00876C73">
        <w:t>202</w:t>
      </w:r>
      <w:r w:rsidR="006E3841">
        <w:t>2</w:t>
      </w:r>
      <w:r w:rsidR="007F63BF" w:rsidRPr="00876C73">
        <w:t xml:space="preserve"> </w:t>
      </w:r>
      <w:r w:rsidR="003A0DB5" w:rsidRPr="00876C73">
        <w:t>r.</w:t>
      </w:r>
    </w:p>
    <w:p w:rsidR="003D4119" w:rsidRPr="007D4AA3" w:rsidRDefault="003D4119" w:rsidP="007D4AA3">
      <w:pPr>
        <w:jc w:val="right"/>
      </w:pPr>
    </w:p>
    <w:p w:rsidR="00AE69A6" w:rsidRPr="006E3841" w:rsidRDefault="00182298" w:rsidP="00AE69A6">
      <w:pPr>
        <w:rPr>
          <w:b/>
        </w:rPr>
      </w:pPr>
      <w:r w:rsidRPr="006E3841">
        <w:rPr>
          <w:b/>
        </w:rPr>
        <w:t>OAS – II.</w:t>
      </w:r>
      <w:r w:rsidR="00984FCD" w:rsidRPr="006E3841">
        <w:rPr>
          <w:b/>
        </w:rPr>
        <w:t>420</w:t>
      </w:r>
      <w:r w:rsidR="00746720" w:rsidRPr="006E3841">
        <w:rPr>
          <w:b/>
        </w:rPr>
        <w:t>.</w:t>
      </w:r>
      <w:r w:rsidR="006E3841" w:rsidRPr="006E3841">
        <w:rPr>
          <w:b/>
        </w:rPr>
        <w:t>6</w:t>
      </w:r>
      <w:r w:rsidR="00D85D5A" w:rsidRPr="006E3841">
        <w:rPr>
          <w:b/>
        </w:rPr>
        <w:t>.202</w:t>
      </w:r>
      <w:r w:rsidR="006E3841" w:rsidRPr="006E3841">
        <w:rPr>
          <w:b/>
        </w:rPr>
        <w:t>2</w:t>
      </w:r>
    </w:p>
    <w:p w:rsidR="00AE69A6" w:rsidRDefault="00AE69A6" w:rsidP="000B2D57">
      <w:pPr>
        <w:spacing w:line="360" w:lineRule="auto"/>
        <w:jc w:val="both"/>
        <w:rPr>
          <w:i/>
          <w:iCs/>
        </w:rPr>
      </w:pPr>
    </w:p>
    <w:p w:rsidR="000B2D57" w:rsidRPr="00876C73" w:rsidRDefault="00E20DFE" w:rsidP="000B2D57">
      <w:pPr>
        <w:spacing w:line="360" w:lineRule="auto"/>
        <w:jc w:val="both"/>
        <w:rPr>
          <w:i/>
          <w:iCs/>
        </w:rPr>
      </w:pPr>
      <w:r w:rsidRPr="00876C73">
        <w:rPr>
          <w:i/>
          <w:iCs/>
        </w:rPr>
        <w:t xml:space="preserve">Dot. praktyk aplikantów </w:t>
      </w:r>
      <w:r w:rsidR="00983596">
        <w:rPr>
          <w:i/>
          <w:iCs/>
        </w:rPr>
        <w:t>II</w:t>
      </w:r>
      <w:r w:rsidR="006E3841">
        <w:rPr>
          <w:i/>
          <w:iCs/>
        </w:rPr>
        <w:t xml:space="preserve"> </w:t>
      </w:r>
      <w:r w:rsidR="000B2D57" w:rsidRPr="00876C73">
        <w:rPr>
          <w:i/>
          <w:iCs/>
        </w:rPr>
        <w:t>roczn</w:t>
      </w:r>
      <w:r w:rsidR="00675837" w:rsidRPr="00876C73">
        <w:rPr>
          <w:i/>
          <w:iCs/>
        </w:rPr>
        <w:t xml:space="preserve">ika aplikacji </w:t>
      </w:r>
      <w:r w:rsidR="00B02348" w:rsidRPr="00876C73">
        <w:rPr>
          <w:i/>
          <w:iCs/>
        </w:rPr>
        <w:t xml:space="preserve">uzupełniającej </w:t>
      </w:r>
      <w:r w:rsidR="00675837" w:rsidRPr="00876C73">
        <w:rPr>
          <w:i/>
          <w:iCs/>
        </w:rPr>
        <w:t xml:space="preserve">sędziowskiej po </w:t>
      </w:r>
      <w:r w:rsidR="00983596">
        <w:rPr>
          <w:i/>
          <w:iCs/>
        </w:rPr>
        <w:t>18</w:t>
      </w:r>
      <w:r w:rsidR="000B2D57" w:rsidRPr="00876C73">
        <w:rPr>
          <w:i/>
          <w:iCs/>
        </w:rPr>
        <w:t xml:space="preserve"> zjeździe</w:t>
      </w:r>
      <w:r w:rsidR="00D832AB" w:rsidRPr="00876C73">
        <w:rPr>
          <w:i/>
          <w:iCs/>
        </w:rPr>
        <w:t>.</w:t>
      </w:r>
    </w:p>
    <w:p w:rsidR="003D4119" w:rsidRPr="00876C73" w:rsidRDefault="003D4119" w:rsidP="000F09A4">
      <w:pPr>
        <w:spacing w:line="360" w:lineRule="auto"/>
        <w:rPr>
          <w:b/>
          <w:bCs/>
        </w:rPr>
      </w:pPr>
    </w:p>
    <w:p w:rsidR="000F09A4" w:rsidRPr="00876C73" w:rsidRDefault="000F09A4" w:rsidP="000F09A4">
      <w:pPr>
        <w:spacing w:line="360" w:lineRule="auto"/>
        <w:ind w:left="4956"/>
        <w:rPr>
          <w:b/>
        </w:rPr>
      </w:pPr>
      <w:r w:rsidRPr="00876C73">
        <w:rPr>
          <w:b/>
        </w:rPr>
        <w:t>Do</w:t>
      </w:r>
    </w:p>
    <w:p w:rsidR="000F09A4" w:rsidRPr="00876C73" w:rsidRDefault="001D498D" w:rsidP="000F09A4">
      <w:pPr>
        <w:spacing w:line="360" w:lineRule="auto"/>
        <w:ind w:left="4956"/>
        <w:rPr>
          <w:b/>
        </w:rPr>
      </w:pPr>
      <w:r>
        <w:rPr>
          <w:b/>
        </w:rPr>
        <w:t>P</w:t>
      </w:r>
      <w:r w:rsidR="000F09A4" w:rsidRPr="00876C73">
        <w:rPr>
          <w:b/>
        </w:rPr>
        <w:t>atronów praktyk</w:t>
      </w:r>
    </w:p>
    <w:p w:rsidR="000F09A4" w:rsidRPr="00876C73" w:rsidRDefault="001D498D" w:rsidP="000F09A4">
      <w:pPr>
        <w:spacing w:line="360" w:lineRule="auto"/>
        <w:ind w:left="4956"/>
        <w:rPr>
          <w:b/>
        </w:rPr>
      </w:pPr>
      <w:r>
        <w:rPr>
          <w:b/>
        </w:rPr>
        <w:t>oraz P</w:t>
      </w:r>
      <w:r w:rsidR="000F09A4" w:rsidRPr="00876C73">
        <w:rPr>
          <w:b/>
        </w:rPr>
        <w:t>atronów koordynatorów</w:t>
      </w:r>
    </w:p>
    <w:p w:rsidR="000F09A4" w:rsidRDefault="000F09A4" w:rsidP="000F09A4">
      <w:pPr>
        <w:spacing w:line="360" w:lineRule="auto"/>
        <w:ind w:left="4956"/>
        <w:rPr>
          <w:b/>
        </w:rPr>
      </w:pPr>
      <w:r w:rsidRPr="00876C73">
        <w:rPr>
          <w:b/>
        </w:rPr>
        <w:t xml:space="preserve">aplikantów aplikacji </w:t>
      </w:r>
      <w:r w:rsidR="00CA1CF8">
        <w:rPr>
          <w:b/>
        </w:rPr>
        <w:t xml:space="preserve">uzupełniającej </w:t>
      </w:r>
      <w:r w:rsidRPr="00876C73">
        <w:rPr>
          <w:b/>
        </w:rPr>
        <w:t xml:space="preserve">sędziowskiej </w:t>
      </w:r>
    </w:p>
    <w:p w:rsidR="005102D9" w:rsidRDefault="005102D9" w:rsidP="000F09A4">
      <w:pPr>
        <w:spacing w:line="360" w:lineRule="auto"/>
        <w:ind w:left="4956"/>
        <w:rPr>
          <w:b/>
        </w:rPr>
      </w:pPr>
    </w:p>
    <w:p w:rsidR="00FE28B5" w:rsidRDefault="00FE28B5" w:rsidP="000F09A4">
      <w:pPr>
        <w:spacing w:line="360" w:lineRule="auto"/>
        <w:ind w:left="4956"/>
        <w:rPr>
          <w:b/>
        </w:rPr>
      </w:pPr>
    </w:p>
    <w:p w:rsidR="00F42A9B" w:rsidRPr="00876C73" w:rsidRDefault="00F42A9B" w:rsidP="00CA1CF8">
      <w:pPr>
        <w:spacing w:after="100" w:afterAutospacing="1"/>
        <w:contextualSpacing/>
      </w:pPr>
    </w:p>
    <w:p w:rsidR="00A4242F" w:rsidRDefault="00632AF4" w:rsidP="00F42A9B">
      <w:pPr>
        <w:spacing w:line="360" w:lineRule="auto"/>
        <w:ind w:firstLine="708"/>
        <w:jc w:val="both"/>
      </w:pPr>
      <w:r>
        <w:t>U</w:t>
      </w:r>
      <w:r w:rsidR="00F42A9B" w:rsidRPr="00876C73">
        <w:t xml:space="preserve">przejmie przedstawiam szczegółowy zakres tematyczny, który winien być przedmiotem praktyk </w:t>
      </w:r>
      <w:r w:rsidR="00983596">
        <w:t>II</w:t>
      </w:r>
      <w:r w:rsidR="0097525A">
        <w:t xml:space="preserve"> rocznika </w:t>
      </w:r>
      <w:r w:rsidR="00F42A9B" w:rsidRPr="00876C73">
        <w:t xml:space="preserve">aplikantów aplikacji </w:t>
      </w:r>
      <w:r w:rsidR="00CA1CF8">
        <w:t xml:space="preserve">uzupełniającej </w:t>
      </w:r>
      <w:r w:rsidR="00983596">
        <w:t xml:space="preserve">sędziowskiej odbywanych </w:t>
      </w:r>
      <w:r w:rsidR="00CA1CF8" w:rsidRPr="00CA1CF8">
        <w:rPr>
          <w:b/>
        </w:rPr>
        <w:t xml:space="preserve">23 maja 2022 r. </w:t>
      </w:r>
      <w:r w:rsidR="00BB2931">
        <w:rPr>
          <w:b/>
        </w:rPr>
        <w:t xml:space="preserve">(1 dzień) </w:t>
      </w:r>
      <w:r w:rsidR="00CA1CF8">
        <w:t xml:space="preserve">oraz </w:t>
      </w:r>
      <w:r w:rsidR="00CA1CF8" w:rsidRPr="00CA1CF8">
        <w:rPr>
          <w:b/>
        </w:rPr>
        <w:t>23 czerwca 2022 r. lub 24.06.2022 r.</w:t>
      </w:r>
      <w:r w:rsidR="00BB2931">
        <w:rPr>
          <w:b/>
        </w:rPr>
        <w:t xml:space="preserve"> (1 dzień)</w:t>
      </w:r>
      <w:r w:rsidR="00CA1CF8">
        <w:t xml:space="preserve">, </w:t>
      </w:r>
      <w:r w:rsidR="00F42A9B" w:rsidRPr="00876C73">
        <w:t xml:space="preserve"> </w:t>
      </w:r>
      <w:r w:rsidR="00B42FD3" w:rsidRPr="00876C73">
        <w:t xml:space="preserve">po </w:t>
      </w:r>
      <w:r w:rsidR="00983596">
        <w:t>18</w:t>
      </w:r>
      <w:r w:rsidR="001D498D">
        <w:t xml:space="preserve"> </w:t>
      </w:r>
      <w:r w:rsidR="00B42FD3" w:rsidRPr="00876C73">
        <w:t>zjeździe</w:t>
      </w:r>
      <w:r>
        <w:t xml:space="preserve">, który </w:t>
      </w:r>
      <w:r w:rsidR="00FE28B5">
        <w:t xml:space="preserve">z kolei </w:t>
      </w:r>
      <w:r w:rsidRPr="00876C73">
        <w:t xml:space="preserve">odbędzie </w:t>
      </w:r>
      <w:r w:rsidR="00983596">
        <w:t>od</w:t>
      </w:r>
      <w:r w:rsidRPr="00876C73">
        <w:t xml:space="preserve"> </w:t>
      </w:r>
      <w:r w:rsidR="00983596">
        <w:t xml:space="preserve">21 do </w:t>
      </w:r>
      <w:r w:rsidRPr="00CA1CF8">
        <w:t>22 maja 2022 r.</w:t>
      </w:r>
    </w:p>
    <w:p w:rsidR="00A4242F" w:rsidRPr="00876C73" w:rsidRDefault="00A4242F" w:rsidP="00A4242F">
      <w:pPr>
        <w:spacing w:line="360" w:lineRule="auto"/>
        <w:ind w:firstLine="708"/>
        <w:jc w:val="both"/>
      </w:pPr>
      <w:r w:rsidRPr="00876C73">
        <w:t>Zgodnie z programem aplikacji uzupełniającej sędziowskiej</w:t>
      </w:r>
      <w:r w:rsidR="00632AF4">
        <w:t xml:space="preserve"> </w:t>
      </w:r>
      <w:r w:rsidRPr="00876C73">
        <w:t xml:space="preserve">przedmiot </w:t>
      </w:r>
      <w:r w:rsidR="00983596">
        <w:t>18</w:t>
      </w:r>
      <w:r w:rsidRPr="00876C73">
        <w:t xml:space="preserve"> zjazdu obejmuje </w:t>
      </w:r>
      <w:r w:rsidRPr="00BB2931">
        <w:rPr>
          <w:u w:val="single"/>
        </w:rPr>
        <w:t>„Postępowanie przed sądem pierwszej instancji. Przebieg rozprawy. Wyrokowanie”</w:t>
      </w:r>
      <w:r w:rsidRPr="00876C73">
        <w:t>.</w:t>
      </w:r>
      <w:r>
        <w:t xml:space="preserve"> P</w:t>
      </w:r>
      <w:r w:rsidRPr="00876C73">
        <w:t xml:space="preserve">o zjeździe aplikanci mają </w:t>
      </w:r>
      <w:r w:rsidRPr="00BB2931">
        <w:t xml:space="preserve">odbyć </w:t>
      </w:r>
      <w:r w:rsidRPr="00983596">
        <w:rPr>
          <w:b/>
          <w:u w:val="single"/>
        </w:rPr>
        <w:t>2 dni</w:t>
      </w:r>
      <w:r w:rsidRPr="00CA1CF8">
        <w:rPr>
          <w:b/>
        </w:rPr>
        <w:t xml:space="preserve"> praktyki w sąd</w:t>
      </w:r>
      <w:r>
        <w:rPr>
          <w:b/>
        </w:rPr>
        <w:t>ach</w:t>
      </w:r>
      <w:r w:rsidRPr="00CA1CF8">
        <w:rPr>
          <w:b/>
        </w:rPr>
        <w:t xml:space="preserve"> rejonowych </w:t>
      </w:r>
      <w:r>
        <w:rPr>
          <w:b/>
        </w:rPr>
        <w:t xml:space="preserve">- </w:t>
      </w:r>
      <w:r w:rsidRPr="00CA1CF8">
        <w:rPr>
          <w:b/>
        </w:rPr>
        <w:t>wydziałach cywilnych zajmujących się sprawami procesowymi</w:t>
      </w:r>
      <w:r w:rsidRPr="00876C73">
        <w:t>.</w:t>
      </w:r>
    </w:p>
    <w:p w:rsidR="002A31A9" w:rsidRPr="00876C73" w:rsidRDefault="002A31A9" w:rsidP="002A31A9">
      <w:pPr>
        <w:spacing w:before="120" w:line="360" w:lineRule="auto"/>
        <w:ind w:firstLine="709"/>
        <w:jc w:val="both"/>
        <w:rPr>
          <w:b/>
          <w:bCs/>
        </w:rPr>
      </w:pPr>
      <w:r w:rsidRPr="00876C73">
        <w:t xml:space="preserve">Z uwagi na zakres tematyczny </w:t>
      </w:r>
      <w:r w:rsidR="00983596">
        <w:t>18</w:t>
      </w:r>
      <w:r w:rsidRPr="00876C73">
        <w:t xml:space="preserve"> zjazdu patron praktyki oraz patron koordynator</w:t>
      </w:r>
      <w:r w:rsidR="00A4242F">
        <w:t>,</w:t>
      </w:r>
      <w:r w:rsidRPr="00876C73">
        <w:t xml:space="preserve"> przy pracy z aplikantami</w:t>
      </w:r>
      <w:r w:rsidR="00A4242F">
        <w:t>,</w:t>
      </w:r>
      <w:r w:rsidRPr="00876C73">
        <w:t xml:space="preserve"> szczególną uwagę </w:t>
      </w:r>
      <w:r w:rsidR="00A4242F" w:rsidRPr="00876C73">
        <w:t xml:space="preserve">powinni poświęcić </w:t>
      </w:r>
      <w:r w:rsidRPr="00876C73">
        <w:t xml:space="preserve">następującym </w:t>
      </w:r>
      <w:r w:rsidRPr="00157D1F">
        <w:rPr>
          <w:bCs/>
        </w:rPr>
        <w:t>zagadnieniom</w:t>
      </w:r>
      <w:r w:rsidRPr="00876C73">
        <w:rPr>
          <w:b/>
          <w:bCs/>
        </w:rPr>
        <w:t xml:space="preserve"> prawa materialnego: </w:t>
      </w:r>
    </w:p>
    <w:p w:rsidR="002A31A9" w:rsidRPr="005102D9" w:rsidRDefault="002A31A9" w:rsidP="002A31A9">
      <w:pPr>
        <w:numPr>
          <w:ilvl w:val="0"/>
          <w:numId w:val="34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102D9">
        <w:rPr>
          <w:rFonts w:eastAsia="Calibri"/>
          <w:lang w:eastAsia="en-US"/>
        </w:rPr>
        <w:t>pojęci</w:t>
      </w:r>
      <w:r w:rsidR="005102D9" w:rsidRPr="005102D9">
        <w:rPr>
          <w:rFonts w:eastAsia="Calibri"/>
          <w:lang w:eastAsia="en-US"/>
        </w:rPr>
        <w:t>u</w:t>
      </w:r>
      <w:r w:rsidRPr="005102D9">
        <w:rPr>
          <w:rFonts w:eastAsia="Calibri"/>
          <w:lang w:eastAsia="en-US"/>
        </w:rPr>
        <w:t xml:space="preserve"> i treś</w:t>
      </w:r>
      <w:r w:rsidR="005102D9" w:rsidRPr="005102D9">
        <w:rPr>
          <w:rFonts w:eastAsia="Calibri"/>
          <w:lang w:eastAsia="en-US"/>
        </w:rPr>
        <w:t>ci</w:t>
      </w:r>
      <w:r w:rsidRPr="005102D9">
        <w:rPr>
          <w:rFonts w:eastAsia="Calibri"/>
          <w:lang w:eastAsia="en-US"/>
        </w:rPr>
        <w:t xml:space="preserve"> prawa własności oraz współwłasności</w:t>
      </w:r>
      <w:r w:rsidR="00FD1EE6" w:rsidRPr="005102D9">
        <w:rPr>
          <w:rFonts w:eastAsia="Calibri"/>
          <w:lang w:eastAsia="en-US"/>
        </w:rPr>
        <w:t>,</w:t>
      </w:r>
      <w:r w:rsidR="00157D1F" w:rsidRPr="005102D9">
        <w:rPr>
          <w:rFonts w:eastAsia="Calibri"/>
          <w:lang w:eastAsia="en-US"/>
        </w:rPr>
        <w:t xml:space="preserve"> </w:t>
      </w:r>
      <w:r w:rsidR="009C4BFE" w:rsidRPr="005102D9">
        <w:rPr>
          <w:rFonts w:eastAsia="Calibri"/>
          <w:lang w:eastAsia="en-US"/>
        </w:rPr>
        <w:t>nabyci</w:t>
      </w:r>
      <w:r w:rsidR="005102D9" w:rsidRPr="005102D9">
        <w:rPr>
          <w:rFonts w:eastAsia="Calibri"/>
          <w:lang w:eastAsia="en-US"/>
        </w:rPr>
        <w:t>u</w:t>
      </w:r>
      <w:r w:rsidR="009C4BFE" w:rsidRPr="005102D9">
        <w:rPr>
          <w:rFonts w:eastAsia="Calibri"/>
          <w:lang w:eastAsia="en-US"/>
        </w:rPr>
        <w:t xml:space="preserve"> i utra</w:t>
      </w:r>
      <w:r w:rsidR="005102D9" w:rsidRPr="005102D9">
        <w:rPr>
          <w:rFonts w:eastAsia="Calibri"/>
          <w:lang w:eastAsia="en-US"/>
        </w:rPr>
        <w:t>cie</w:t>
      </w:r>
      <w:r w:rsidR="009C4BFE" w:rsidRPr="005102D9">
        <w:rPr>
          <w:rFonts w:eastAsia="Calibri"/>
          <w:lang w:eastAsia="en-US"/>
        </w:rPr>
        <w:t xml:space="preserve"> własności</w:t>
      </w:r>
      <w:r w:rsidR="00FD1EE6" w:rsidRPr="005102D9">
        <w:rPr>
          <w:rFonts w:eastAsia="Calibri"/>
          <w:lang w:eastAsia="en-US"/>
        </w:rPr>
        <w:t>,</w:t>
      </w:r>
      <w:r w:rsidR="00157D1F" w:rsidRPr="005102D9">
        <w:rPr>
          <w:rFonts w:eastAsia="Calibri"/>
          <w:lang w:eastAsia="en-US"/>
        </w:rPr>
        <w:t xml:space="preserve"> </w:t>
      </w:r>
      <w:r w:rsidRPr="005102D9">
        <w:rPr>
          <w:rFonts w:eastAsia="Calibri"/>
          <w:lang w:eastAsia="en-US"/>
        </w:rPr>
        <w:t>wykonywani</w:t>
      </w:r>
      <w:r w:rsidR="005102D9" w:rsidRPr="005102D9">
        <w:rPr>
          <w:rFonts w:eastAsia="Calibri"/>
          <w:lang w:eastAsia="en-US"/>
        </w:rPr>
        <w:t>u</w:t>
      </w:r>
      <w:r w:rsidRPr="005102D9">
        <w:rPr>
          <w:rFonts w:eastAsia="Calibri"/>
          <w:lang w:eastAsia="en-US"/>
        </w:rPr>
        <w:t xml:space="preserve"> prawa własności</w:t>
      </w:r>
      <w:r w:rsidR="00FE28B5">
        <w:rPr>
          <w:rFonts w:eastAsia="Calibri"/>
          <w:lang w:eastAsia="en-US"/>
        </w:rPr>
        <w:t>,</w:t>
      </w:r>
      <w:r w:rsidR="00FE28B5" w:rsidRPr="00FE28B5">
        <w:rPr>
          <w:rFonts w:eastAsia="Calibri"/>
          <w:lang w:eastAsia="en-US"/>
        </w:rPr>
        <w:t xml:space="preserve"> </w:t>
      </w:r>
      <w:r w:rsidR="00FE28B5" w:rsidRPr="00876C73">
        <w:rPr>
          <w:rFonts w:eastAsia="Calibri"/>
          <w:lang w:eastAsia="en-US"/>
        </w:rPr>
        <w:t>ochron</w:t>
      </w:r>
      <w:r w:rsidR="00FE28B5">
        <w:rPr>
          <w:rFonts w:eastAsia="Calibri"/>
          <w:lang w:eastAsia="en-US"/>
        </w:rPr>
        <w:t>ie</w:t>
      </w:r>
      <w:r w:rsidR="00FE28B5" w:rsidRPr="00876C73">
        <w:rPr>
          <w:rFonts w:eastAsia="Calibri"/>
          <w:lang w:eastAsia="en-US"/>
        </w:rPr>
        <w:t xml:space="preserve"> własności</w:t>
      </w:r>
      <w:r w:rsidR="00FE28B5">
        <w:rPr>
          <w:rFonts w:eastAsia="Calibri"/>
          <w:lang w:eastAsia="en-US"/>
        </w:rPr>
        <w:t>,</w:t>
      </w:r>
      <w:r w:rsidR="00FE28B5" w:rsidRPr="00876C73">
        <w:rPr>
          <w:rFonts w:eastAsia="Calibri"/>
          <w:lang w:eastAsia="en-US"/>
        </w:rPr>
        <w:t xml:space="preserve"> reprywatyzacj</w:t>
      </w:r>
      <w:r w:rsidR="00FE28B5">
        <w:rPr>
          <w:rFonts w:eastAsia="Calibri"/>
          <w:lang w:eastAsia="en-US"/>
        </w:rPr>
        <w:t>i i</w:t>
      </w:r>
      <w:r w:rsidR="00FE28B5" w:rsidRPr="00876C73">
        <w:rPr>
          <w:rFonts w:eastAsia="Calibri"/>
          <w:lang w:eastAsia="en-US"/>
        </w:rPr>
        <w:t xml:space="preserve"> zwrot</w:t>
      </w:r>
      <w:r w:rsidR="00FE28B5">
        <w:rPr>
          <w:rFonts w:eastAsia="Calibri"/>
          <w:lang w:eastAsia="en-US"/>
        </w:rPr>
        <w:t>owi</w:t>
      </w:r>
      <w:r w:rsidR="00FE28B5" w:rsidRPr="00876C73">
        <w:rPr>
          <w:rFonts w:eastAsia="Calibri"/>
          <w:lang w:eastAsia="en-US"/>
        </w:rPr>
        <w:t xml:space="preserve"> nieruchomości w orzecznictwie Europejskiego Trybunału Praw Człowieka</w:t>
      </w:r>
    </w:p>
    <w:p w:rsidR="002A31A9" w:rsidRPr="005102D9" w:rsidRDefault="002A31A9" w:rsidP="002A31A9">
      <w:pPr>
        <w:numPr>
          <w:ilvl w:val="0"/>
          <w:numId w:val="34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5102D9">
        <w:rPr>
          <w:rFonts w:eastAsia="Calibri"/>
          <w:lang w:eastAsia="en-US"/>
        </w:rPr>
        <w:t xml:space="preserve"> praw</w:t>
      </w:r>
      <w:r w:rsidR="005102D9" w:rsidRPr="005102D9">
        <w:rPr>
          <w:rFonts w:eastAsia="Calibri"/>
          <w:lang w:eastAsia="en-US"/>
        </w:rPr>
        <w:t>u</w:t>
      </w:r>
      <w:r w:rsidRPr="005102D9">
        <w:rPr>
          <w:rFonts w:eastAsia="Calibri"/>
          <w:lang w:eastAsia="en-US"/>
        </w:rPr>
        <w:t xml:space="preserve"> sąsiedzkie</w:t>
      </w:r>
      <w:r w:rsidR="005102D9" w:rsidRPr="005102D9">
        <w:rPr>
          <w:rFonts w:eastAsia="Calibri"/>
          <w:lang w:eastAsia="en-US"/>
        </w:rPr>
        <w:t>mu</w:t>
      </w:r>
      <w:r w:rsidR="00FD1EE6" w:rsidRPr="005102D9">
        <w:rPr>
          <w:rFonts w:eastAsia="Calibri"/>
          <w:lang w:eastAsia="en-US"/>
        </w:rPr>
        <w:t>,</w:t>
      </w:r>
      <w:r w:rsidR="00157D1F" w:rsidRPr="005102D9">
        <w:rPr>
          <w:rFonts w:eastAsia="Calibri"/>
          <w:lang w:eastAsia="en-US"/>
        </w:rPr>
        <w:t xml:space="preserve"> </w:t>
      </w:r>
      <w:r w:rsidRPr="005102D9">
        <w:rPr>
          <w:rFonts w:eastAsia="Calibri"/>
          <w:lang w:eastAsia="en-US"/>
        </w:rPr>
        <w:t>ochron</w:t>
      </w:r>
      <w:r w:rsidR="005102D9" w:rsidRPr="005102D9">
        <w:rPr>
          <w:rFonts w:eastAsia="Calibri"/>
          <w:lang w:eastAsia="en-US"/>
        </w:rPr>
        <w:t>ie</w:t>
      </w:r>
      <w:r w:rsidRPr="005102D9">
        <w:rPr>
          <w:rFonts w:eastAsia="Calibri"/>
          <w:lang w:eastAsia="en-US"/>
        </w:rPr>
        <w:t xml:space="preserve"> petytoryjn</w:t>
      </w:r>
      <w:r w:rsidR="005102D9" w:rsidRPr="005102D9">
        <w:rPr>
          <w:rFonts w:eastAsia="Calibri"/>
          <w:lang w:eastAsia="en-US"/>
        </w:rPr>
        <w:t>ej</w:t>
      </w:r>
      <w:r w:rsidR="009C4BFE" w:rsidRPr="005102D9">
        <w:rPr>
          <w:rFonts w:eastAsia="Calibri"/>
          <w:lang w:eastAsia="en-US"/>
        </w:rPr>
        <w:t xml:space="preserve"> i posesoryjn</w:t>
      </w:r>
      <w:r w:rsidR="005102D9" w:rsidRPr="005102D9">
        <w:rPr>
          <w:rFonts w:eastAsia="Calibri"/>
          <w:lang w:eastAsia="en-US"/>
        </w:rPr>
        <w:t>ej</w:t>
      </w:r>
      <w:r w:rsidRPr="005102D9">
        <w:rPr>
          <w:rFonts w:eastAsia="Calibri"/>
          <w:lang w:eastAsia="en-US"/>
        </w:rPr>
        <w:t>;</w:t>
      </w:r>
    </w:p>
    <w:p w:rsidR="002A31A9" w:rsidRPr="00876C73" w:rsidRDefault="002A31A9" w:rsidP="002A31A9">
      <w:pPr>
        <w:numPr>
          <w:ilvl w:val="0"/>
          <w:numId w:val="34"/>
        </w:numPr>
        <w:spacing w:line="360" w:lineRule="auto"/>
        <w:ind w:left="714" w:hanging="357"/>
        <w:contextualSpacing/>
        <w:jc w:val="both"/>
        <w:rPr>
          <w:rFonts w:eastAsia="Calibri"/>
          <w:lang w:eastAsia="en-US"/>
        </w:rPr>
      </w:pPr>
      <w:r w:rsidRPr="00876C73">
        <w:rPr>
          <w:rFonts w:eastAsia="Calibri"/>
          <w:lang w:eastAsia="en-US"/>
        </w:rPr>
        <w:t>umow</w:t>
      </w:r>
      <w:r w:rsidR="005102D9">
        <w:rPr>
          <w:rFonts w:eastAsia="Calibri"/>
          <w:lang w:eastAsia="en-US"/>
        </w:rPr>
        <w:t>ie przedwstępnej, roszczeniom</w:t>
      </w:r>
      <w:r w:rsidRPr="00876C73">
        <w:rPr>
          <w:rFonts w:eastAsia="Calibri"/>
          <w:lang w:eastAsia="en-US"/>
        </w:rPr>
        <w:t xml:space="preserve"> na tle niewykonania umowy przedwstępnej;</w:t>
      </w:r>
    </w:p>
    <w:p w:rsidR="002A31A9" w:rsidRPr="00157D1F" w:rsidRDefault="002A31A9" w:rsidP="00157D1F">
      <w:pPr>
        <w:numPr>
          <w:ilvl w:val="0"/>
          <w:numId w:val="34"/>
        </w:numPr>
        <w:spacing w:line="360" w:lineRule="auto"/>
        <w:ind w:left="714" w:hanging="357"/>
        <w:contextualSpacing/>
        <w:jc w:val="both"/>
        <w:rPr>
          <w:rFonts w:eastAsia="Calibri"/>
          <w:lang w:eastAsia="en-US"/>
        </w:rPr>
      </w:pPr>
      <w:r w:rsidRPr="00876C73">
        <w:rPr>
          <w:rFonts w:eastAsia="Calibri"/>
          <w:lang w:eastAsia="en-US"/>
        </w:rPr>
        <w:t>odwołani</w:t>
      </w:r>
      <w:r w:rsidR="005102D9">
        <w:rPr>
          <w:rFonts w:eastAsia="Calibri"/>
          <w:lang w:eastAsia="en-US"/>
        </w:rPr>
        <w:t>u</w:t>
      </w:r>
      <w:r w:rsidRPr="00876C73">
        <w:rPr>
          <w:rFonts w:eastAsia="Calibri"/>
          <w:lang w:eastAsia="en-US"/>
        </w:rPr>
        <w:t xml:space="preserve"> darowizny i jego skutk</w:t>
      </w:r>
      <w:r w:rsidR="005102D9">
        <w:rPr>
          <w:rFonts w:eastAsia="Calibri"/>
          <w:lang w:eastAsia="en-US"/>
        </w:rPr>
        <w:t>om</w:t>
      </w:r>
      <w:r w:rsidRPr="00157D1F">
        <w:rPr>
          <w:rFonts w:eastAsia="Calibri"/>
          <w:lang w:eastAsia="en-US"/>
        </w:rPr>
        <w:t>.</w:t>
      </w:r>
    </w:p>
    <w:p w:rsidR="00A4242F" w:rsidRDefault="00A4242F" w:rsidP="0002211A">
      <w:pPr>
        <w:spacing w:before="120" w:line="360" w:lineRule="auto"/>
        <w:ind w:firstLine="708"/>
        <w:jc w:val="both"/>
      </w:pPr>
      <w:r>
        <w:lastRenderedPageBreak/>
        <w:t xml:space="preserve">W zakresie </w:t>
      </w:r>
      <w:r w:rsidRPr="00157D1F">
        <w:rPr>
          <w:b/>
        </w:rPr>
        <w:t>prawa procesowego</w:t>
      </w:r>
      <w:r>
        <w:t>, szczególną uwagę należy poświęcić zagadnieniom dotyczącym:</w:t>
      </w:r>
    </w:p>
    <w:p w:rsidR="00B85280" w:rsidRPr="009C4BFE" w:rsidRDefault="002A31A9" w:rsidP="00B85280">
      <w:pPr>
        <w:numPr>
          <w:ilvl w:val="0"/>
          <w:numId w:val="35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876C73">
        <w:rPr>
          <w:rFonts w:eastAsia="Calibri"/>
          <w:lang w:eastAsia="en-US"/>
        </w:rPr>
        <w:t>współuczestnictw</w:t>
      </w:r>
      <w:r w:rsidR="00157D1F">
        <w:rPr>
          <w:rFonts w:eastAsia="Calibri"/>
          <w:lang w:eastAsia="en-US"/>
        </w:rPr>
        <w:t>a</w:t>
      </w:r>
      <w:r w:rsidRPr="00876C73">
        <w:rPr>
          <w:rFonts w:eastAsia="Calibri"/>
          <w:lang w:eastAsia="en-US"/>
        </w:rPr>
        <w:t xml:space="preserve"> procesowe</w:t>
      </w:r>
      <w:r w:rsidR="00157D1F">
        <w:rPr>
          <w:rFonts w:eastAsia="Calibri"/>
          <w:lang w:eastAsia="en-US"/>
        </w:rPr>
        <w:t>go</w:t>
      </w:r>
      <w:r w:rsidR="00B85280">
        <w:rPr>
          <w:rFonts w:eastAsia="Calibri"/>
          <w:lang w:eastAsia="en-US"/>
        </w:rPr>
        <w:t>,</w:t>
      </w:r>
      <w:r w:rsidR="00B85280" w:rsidRPr="00B85280">
        <w:rPr>
          <w:rFonts w:eastAsia="Calibri"/>
          <w:lang w:eastAsia="en-US"/>
        </w:rPr>
        <w:t xml:space="preserve"> </w:t>
      </w:r>
      <w:r w:rsidR="00B85280" w:rsidRPr="00876C73">
        <w:rPr>
          <w:rFonts w:eastAsia="Calibri"/>
          <w:lang w:eastAsia="en-US"/>
        </w:rPr>
        <w:t>interwencj</w:t>
      </w:r>
      <w:r w:rsidR="00B85280">
        <w:rPr>
          <w:rFonts w:eastAsia="Calibri"/>
          <w:lang w:eastAsia="en-US"/>
        </w:rPr>
        <w:t>i</w:t>
      </w:r>
      <w:r w:rsidR="00B85280" w:rsidRPr="00876C73">
        <w:rPr>
          <w:rFonts w:eastAsia="Calibri"/>
          <w:lang w:eastAsia="en-US"/>
        </w:rPr>
        <w:t xml:space="preserve"> główn</w:t>
      </w:r>
      <w:r w:rsidR="00B85280">
        <w:rPr>
          <w:rFonts w:eastAsia="Calibri"/>
          <w:lang w:eastAsia="en-US"/>
        </w:rPr>
        <w:t>ej</w:t>
      </w:r>
      <w:r w:rsidR="00B85280" w:rsidRPr="00876C73">
        <w:rPr>
          <w:rFonts w:eastAsia="Calibri"/>
          <w:lang w:eastAsia="en-US"/>
        </w:rPr>
        <w:t xml:space="preserve"> i uboczn</w:t>
      </w:r>
      <w:r w:rsidR="00B85280">
        <w:rPr>
          <w:rFonts w:eastAsia="Calibri"/>
          <w:lang w:eastAsia="en-US"/>
        </w:rPr>
        <w:t xml:space="preserve">ej oraz </w:t>
      </w:r>
      <w:r w:rsidR="00B85280" w:rsidRPr="009C4BFE">
        <w:rPr>
          <w:rFonts w:eastAsia="Calibri"/>
          <w:lang w:eastAsia="en-US"/>
        </w:rPr>
        <w:t>przypozwani</w:t>
      </w:r>
      <w:r w:rsidR="00B85280">
        <w:rPr>
          <w:rFonts w:eastAsia="Calibri"/>
          <w:lang w:eastAsia="en-US"/>
        </w:rPr>
        <w:t>u</w:t>
      </w:r>
      <w:r w:rsidR="00B85280" w:rsidRPr="009C4BFE">
        <w:rPr>
          <w:rFonts w:eastAsia="Calibri"/>
          <w:lang w:eastAsia="en-US"/>
        </w:rPr>
        <w:t>;</w:t>
      </w:r>
    </w:p>
    <w:p w:rsidR="002A31A9" w:rsidRPr="009C4BFE" w:rsidRDefault="002A31A9" w:rsidP="009C4BFE">
      <w:pPr>
        <w:numPr>
          <w:ilvl w:val="0"/>
          <w:numId w:val="35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9C4BFE">
        <w:rPr>
          <w:rFonts w:eastAsia="Calibri"/>
          <w:lang w:eastAsia="en-US"/>
        </w:rPr>
        <w:t>dopuszczalnoś</w:t>
      </w:r>
      <w:r w:rsidR="00157D1F">
        <w:rPr>
          <w:rFonts w:eastAsia="Calibri"/>
          <w:lang w:eastAsia="en-US"/>
        </w:rPr>
        <w:t>ci</w:t>
      </w:r>
      <w:r w:rsidRPr="009C4BFE">
        <w:rPr>
          <w:rFonts w:eastAsia="Calibri"/>
          <w:lang w:eastAsia="en-US"/>
        </w:rPr>
        <w:t xml:space="preserve"> przedmiotowej i podmiotowej zmiany powództwa, podejmowani</w:t>
      </w:r>
      <w:r w:rsidR="00157D1F">
        <w:rPr>
          <w:rFonts w:eastAsia="Calibri"/>
          <w:lang w:eastAsia="en-US"/>
        </w:rPr>
        <w:t xml:space="preserve">a </w:t>
      </w:r>
      <w:r w:rsidRPr="009C4BFE">
        <w:rPr>
          <w:rFonts w:eastAsia="Calibri"/>
          <w:lang w:eastAsia="en-US"/>
        </w:rPr>
        <w:t>decyzji proc</w:t>
      </w:r>
      <w:r w:rsidR="009C4BFE" w:rsidRPr="009C4BFE">
        <w:rPr>
          <w:rFonts w:eastAsia="Calibri"/>
          <w:lang w:eastAsia="en-US"/>
        </w:rPr>
        <w:t>esowych na podstawie art. 193-</w:t>
      </w:r>
      <w:r w:rsidRPr="009C4BFE">
        <w:rPr>
          <w:rFonts w:eastAsia="Calibri"/>
          <w:lang w:eastAsia="en-US"/>
        </w:rPr>
        <w:t>196 k.p.c.;</w:t>
      </w:r>
    </w:p>
    <w:p w:rsidR="002A31A9" w:rsidRDefault="002A31A9" w:rsidP="002A31A9">
      <w:pPr>
        <w:numPr>
          <w:ilvl w:val="0"/>
          <w:numId w:val="35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876C73">
        <w:rPr>
          <w:rFonts w:eastAsia="Calibri"/>
          <w:lang w:eastAsia="en-US"/>
        </w:rPr>
        <w:t>kumulacj</w:t>
      </w:r>
      <w:r w:rsidR="00157D1F">
        <w:rPr>
          <w:rFonts w:eastAsia="Calibri"/>
          <w:lang w:eastAsia="en-US"/>
        </w:rPr>
        <w:t>i</w:t>
      </w:r>
      <w:r w:rsidRPr="00876C73">
        <w:rPr>
          <w:rFonts w:eastAsia="Calibri"/>
          <w:lang w:eastAsia="en-US"/>
        </w:rPr>
        <w:t xml:space="preserve"> i rozdrabniani</w:t>
      </w:r>
      <w:r w:rsidR="00157D1F">
        <w:rPr>
          <w:rFonts w:eastAsia="Calibri"/>
          <w:lang w:eastAsia="en-US"/>
        </w:rPr>
        <w:t>a</w:t>
      </w:r>
      <w:r w:rsidR="00D83918">
        <w:rPr>
          <w:rFonts w:eastAsia="Calibri"/>
          <w:lang w:eastAsia="en-US"/>
        </w:rPr>
        <w:t xml:space="preserve"> roszczeń;</w:t>
      </w:r>
    </w:p>
    <w:p w:rsidR="00157D1F" w:rsidRPr="00876C73" w:rsidRDefault="00157D1F" w:rsidP="002A31A9">
      <w:pPr>
        <w:numPr>
          <w:ilvl w:val="0"/>
          <w:numId w:val="35"/>
        </w:numPr>
        <w:spacing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oceny materiału dowodowego;</w:t>
      </w:r>
    </w:p>
    <w:p w:rsidR="002A31A9" w:rsidRPr="00876C73" w:rsidRDefault="002A31A9" w:rsidP="009C4BFE">
      <w:pPr>
        <w:numPr>
          <w:ilvl w:val="0"/>
          <w:numId w:val="35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876C73">
        <w:rPr>
          <w:rFonts w:eastAsia="Calibri"/>
          <w:lang w:eastAsia="en-US"/>
        </w:rPr>
        <w:t>formułowania rozstrzygnięcia w sprawach posesoryjnych i petytoryjnych</w:t>
      </w:r>
      <w:r w:rsidR="009C4BFE">
        <w:rPr>
          <w:rFonts w:eastAsia="Calibri"/>
          <w:lang w:eastAsia="en-US"/>
        </w:rPr>
        <w:t xml:space="preserve">, </w:t>
      </w:r>
      <w:r w:rsidR="00BE0E24">
        <w:rPr>
          <w:rFonts w:eastAsia="Calibri"/>
          <w:lang w:eastAsia="en-US"/>
        </w:rPr>
        <w:br/>
      </w:r>
      <w:r w:rsidR="009C4BFE">
        <w:rPr>
          <w:rFonts w:eastAsia="Calibri"/>
          <w:lang w:eastAsia="en-US"/>
        </w:rPr>
        <w:t>a także</w:t>
      </w:r>
      <w:r w:rsidRPr="00876C73">
        <w:rPr>
          <w:rFonts w:eastAsia="Calibri"/>
          <w:lang w:eastAsia="en-US"/>
        </w:rPr>
        <w:t xml:space="preserve"> w sprawach o zobowiązanie do złożenia oświadczenia woli;</w:t>
      </w:r>
    </w:p>
    <w:p w:rsidR="00257103" w:rsidRPr="00257103" w:rsidRDefault="002A31A9" w:rsidP="00257103">
      <w:pPr>
        <w:numPr>
          <w:ilvl w:val="0"/>
          <w:numId w:val="35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876C73">
        <w:rPr>
          <w:rFonts w:eastAsia="Calibri"/>
          <w:lang w:eastAsia="en-US"/>
        </w:rPr>
        <w:t>zabezpieczeni</w:t>
      </w:r>
      <w:r w:rsidR="00157D1F">
        <w:rPr>
          <w:rFonts w:eastAsia="Calibri"/>
          <w:lang w:eastAsia="en-US"/>
        </w:rPr>
        <w:t>a</w:t>
      </w:r>
      <w:r w:rsidRPr="00876C73">
        <w:rPr>
          <w:rFonts w:eastAsia="Calibri"/>
          <w:lang w:eastAsia="en-US"/>
        </w:rPr>
        <w:t xml:space="preserve"> roszczenia, </w:t>
      </w:r>
      <w:r w:rsidR="00257103" w:rsidRPr="00257103">
        <w:rPr>
          <w:rFonts w:eastAsia="Calibri"/>
          <w:lang w:eastAsia="en-US"/>
        </w:rPr>
        <w:t>w szczególności przesłan</w:t>
      </w:r>
      <w:r w:rsidR="00257103">
        <w:rPr>
          <w:rFonts w:eastAsia="Calibri"/>
          <w:lang w:eastAsia="en-US"/>
        </w:rPr>
        <w:t>e</w:t>
      </w:r>
      <w:r w:rsidR="00257103" w:rsidRPr="00257103">
        <w:rPr>
          <w:rFonts w:eastAsia="Calibri"/>
          <w:lang w:eastAsia="en-US"/>
        </w:rPr>
        <w:t>k udzielenia zabezpieczenia</w:t>
      </w:r>
      <w:r w:rsidR="00FD1EE6">
        <w:rPr>
          <w:rFonts w:eastAsia="Calibri"/>
          <w:lang w:eastAsia="en-US"/>
        </w:rPr>
        <w:t>,</w:t>
      </w:r>
      <w:r w:rsidR="00257103" w:rsidRPr="00257103">
        <w:rPr>
          <w:rFonts w:eastAsia="Calibri"/>
          <w:lang w:eastAsia="en-US"/>
        </w:rPr>
        <w:t xml:space="preserve"> zabezpieczeni</w:t>
      </w:r>
      <w:r w:rsidR="00257103">
        <w:rPr>
          <w:rFonts w:eastAsia="Calibri"/>
          <w:lang w:eastAsia="en-US"/>
        </w:rPr>
        <w:t>a</w:t>
      </w:r>
      <w:r w:rsidR="00257103" w:rsidRPr="00257103">
        <w:rPr>
          <w:rFonts w:eastAsia="Calibri"/>
          <w:lang w:eastAsia="en-US"/>
        </w:rPr>
        <w:t xml:space="preserve"> na wniosek i z urzędu, właściwoś</w:t>
      </w:r>
      <w:r w:rsidR="00257103">
        <w:rPr>
          <w:rFonts w:eastAsia="Calibri"/>
          <w:lang w:eastAsia="en-US"/>
        </w:rPr>
        <w:t>ci</w:t>
      </w:r>
      <w:r w:rsidR="00257103" w:rsidRPr="00257103">
        <w:rPr>
          <w:rFonts w:eastAsia="Calibri"/>
          <w:lang w:eastAsia="en-US"/>
        </w:rPr>
        <w:t xml:space="preserve"> sądu, treś</w:t>
      </w:r>
      <w:r w:rsidR="00257103">
        <w:rPr>
          <w:rFonts w:eastAsia="Calibri"/>
          <w:lang w:eastAsia="en-US"/>
        </w:rPr>
        <w:t>ci</w:t>
      </w:r>
      <w:r w:rsidR="00257103" w:rsidRPr="00257103">
        <w:rPr>
          <w:rFonts w:eastAsia="Calibri"/>
          <w:lang w:eastAsia="en-US"/>
        </w:rPr>
        <w:t xml:space="preserve"> wniosku</w:t>
      </w:r>
      <w:r w:rsidR="00FD1EE6">
        <w:rPr>
          <w:rFonts w:eastAsia="Calibri"/>
          <w:lang w:eastAsia="en-US"/>
        </w:rPr>
        <w:t>,</w:t>
      </w:r>
      <w:r w:rsidR="00257103" w:rsidRPr="00257103">
        <w:rPr>
          <w:rFonts w:eastAsia="Calibri"/>
          <w:lang w:eastAsia="en-US"/>
        </w:rPr>
        <w:t xml:space="preserve"> granic rozpoznania wniosku, sposob</w:t>
      </w:r>
      <w:r w:rsidR="00257103">
        <w:rPr>
          <w:rFonts w:eastAsia="Calibri"/>
          <w:lang w:eastAsia="en-US"/>
        </w:rPr>
        <w:t>ów</w:t>
      </w:r>
      <w:r w:rsidR="00257103" w:rsidRPr="00257103">
        <w:rPr>
          <w:rFonts w:eastAsia="Calibri"/>
          <w:lang w:eastAsia="en-US"/>
        </w:rPr>
        <w:t xml:space="preserve"> zabezpieczenia roszczeń pieniężnych </w:t>
      </w:r>
      <w:r w:rsidR="00257103">
        <w:rPr>
          <w:rFonts w:eastAsia="Calibri"/>
          <w:lang w:eastAsia="en-US"/>
        </w:rPr>
        <w:br/>
      </w:r>
      <w:r w:rsidR="00257103" w:rsidRPr="00257103">
        <w:rPr>
          <w:rFonts w:eastAsia="Calibri"/>
          <w:lang w:eastAsia="en-US"/>
        </w:rPr>
        <w:t>i niepieniężnych</w:t>
      </w:r>
      <w:r w:rsidR="00FD1EE6">
        <w:rPr>
          <w:rFonts w:eastAsia="Calibri"/>
          <w:lang w:eastAsia="en-US"/>
        </w:rPr>
        <w:t>,</w:t>
      </w:r>
      <w:r w:rsidR="00257103" w:rsidRPr="00257103">
        <w:rPr>
          <w:rFonts w:eastAsia="Calibri"/>
          <w:lang w:eastAsia="en-US"/>
        </w:rPr>
        <w:t xml:space="preserve"> formułowani</w:t>
      </w:r>
      <w:r w:rsidR="00257103">
        <w:rPr>
          <w:rFonts w:eastAsia="Calibri"/>
          <w:lang w:eastAsia="en-US"/>
        </w:rPr>
        <w:t>a</w:t>
      </w:r>
      <w:r w:rsidR="00257103" w:rsidRPr="00257103">
        <w:rPr>
          <w:rFonts w:eastAsia="Calibri"/>
          <w:lang w:eastAsia="en-US"/>
        </w:rPr>
        <w:t xml:space="preserve"> postanowień o udzieleniu zabezpieczenia, nadani</w:t>
      </w:r>
      <w:r w:rsidR="00257103">
        <w:rPr>
          <w:rFonts w:eastAsia="Calibri"/>
          <w:lang w:eastAsia="en-US"/>
        </w:rPr>
        <w:t>a</w:t>
      </w:r>
      <w:r w:rsidR="00257103" w:rsidRPr="00257103">
        <w:rPr>
          <w:rFonts w:eastAsia="Calibri"/>
          <w:lang w:eastAsia="en-US"/>
        </w:rPr>
        <w:t xml:space="preserve"> klauzuli wykonalności z urzędu, koszt</w:t>
      </w:r>
      <w:r w:rsidR="00257103">
        <w:rPr>
          <w:rFonts w:eastAsia="Calibri"/>
          <w:lang w:eastAsia="en-US"/>
        </w:rPr>
        <w:t>ów</w:t>
      </w:r>
      <w:r w:rsidR="00257103" w:rsidRPr="00257103">
        <w:rPr>
          <w:rFonts w:eastAsia="Calibri"/>
          <w:lang w:eastAsia="en-US"/>
        </w:rPr>
        <w:t xml:space="preserve"> postępowania zabezpieczającego</w:t>
      </w:r>
      <w:r w:rsidR="00FD1EE6">
        <w:rPr>
          <w:rFonts w:eastAsia="Calibri"/>
          <w:lang w:eastAsia="en-US"/>
        </w:rPr>
        <w:t>,</w:t>
      </w:r>
      <w:r w:rsidR="00257103" w:rsidRPr="00257103">
        <w:rPr>
          <w:rFonts w:eastAsia="Calibri"/>
          <w:lang w:eastAsia="en-US"/>
        </w:rPr>
        <w:t xml:space="preserve"> upadk</w:t>
      </w:r>
      <w:r w:rsidR="00257103">
        <w:rPr>
          <w:rFonts w:eastAsia="Calibri"/>
          <w:lang w:eastAsia="en-US"/>
        </w:rPr>
        <w:t>u</w:t>
      </w:r>
      <w:r w:rsidR="00FD1EE6">
        <w:rPr>
          <w:rFonts w:eastAsia="Calibri"/>
          <w:lang w:eastAsia="en-US"/>
        </w:rPr>
        <w:t xml:space="preserve"> zabezpieczenia,</w:t>
      </w:r>
      <w:r w:rsidR="00257103" w:rsidRPr="00257103">
        <w:rPr>
          <w:rFonts w:eastAsia="Calibri"/>
          <w:lang w:eastAsia="en-US"/>
        </w:rPr>
        <w:t xml:space="preserve"> uchyleni</w:t>
      </w:r>
      <w:r w:rsidR="00257103">
        <w:rPr>
          <w:rFonts w:eastAsia="Calibri"/>
          <w:lang w:eastAsia="en-US"/>
        </w:rPr>
        <w:t>a</w:t>
      </w:r>
      <w:r w:rsidR="00257103" w:rsidRPr="00257103">
        <w:rPr>
          <w:rFonts w:eastAsia="Calibri"/>
          <w:lang w:eastAsia="en-US"/>
        </w:rPr>
        <w:t xml:space="preserve"> lub zmian</w:t>
      </w:r>
      <w:r w:rsidR="00257103">
        <w:rPr>
          <w:rFonts w:eastAsia="Calibri"/>
          <w:lang w:eastAsia="en-US"/>
        </w:rPr>
        <w:t>y</w:t>
      </w:r>
      <w:r w:rsidR="00257103" w:rsidRPr="00257103">
        <w:rPr>
          <w:rFonts w:eastAsia="Calibri"/>
          <w:lang w:eastAsia="en-US"/>
        </w:rPr>
        <w:t xml:space="preserve"> postanowienia o udzieleniu zabezpieczenia; </w:t>
      </w:r>
    </w:p>
    <w:p w:rsidR="002A31A9" w:rsidRPr="00B85280" w:rsidRDefault="002A31A9" w:rsidP="00257103">
      <w:pPr>
        <w:numPr>
          <w:ilvl w:val="0"/>
          <w:numId w:val="35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B85280">
        <w:rPr>
          <w:rFonts w:eastAsia="Calibri"/>
          <w:lang w:eastAsia="en-US"/>
        </w:rPr>
        <w:t>ustaw</w:t>
      </w:r>
      <w:r w:rsidR="00257103" w:rsidRPr="00B85280">
        <w:rPr>
          <w:rFonts w:eastAsia="Calibri"/>
          <w:lang w:eastAsia="en-US"/>
        </w:rPr>
        <w:t>y</w:t>
      </w:r>
      <w:r w:rsidRPr="00B85280">
        <w:rPr>
          <w:rFonts w:eastAsia="Calibri"/>
          <w:lang w:eastAsia="en-US"/>
        </w:rPr>
        <w:t xml:space="preserve"> o skardze na naruszenie prawa strony do rozpoznania sprawy w postępowaniu przygotowawczym prowadzonym lub nadzorowanym przez prokuratora </w:t>
      </w:r>
      <w:r w:rsidR="00257103" w:rsidRPr="00B85280">
        <w:rPr>
          <w:rFonts w:eastAsia="Calibri"/>
          <w:lang w:eastAsia="en-US"/>
        </w:rPr>
        <w:br/>
      </w:r>
      <w:r w:rsidRPr="00B85280">
        <w:rPr>
          <w:rFonts w:eastAsia="Calibri"/>
          <w:lang w:eastAsia="en-US"/>
        </w:rPr>
        <w:t>i postępowaniu sądowym bez nieuzasadnionej zwłoki.</w:t>
      </w:r>
    </w:p>
    <w:p w:rsidR="00D83918" w:rsidRDefault="00D83918" w:rsidP="00D83918">
      <w:pPr>
        <w:spacing w:before="120" w:line="360" w:lineRule="auto"/>
        <w:ind w:left="720"/>
        <w:jc w:val="both"/>
      </w:pPr>
    </w:p>
    <w:p w:rsidR="005B6E5F" w:rsidRDefault="005B6E5F" w:rsidP="005B6E5F">
      <w:pPr>
        <w:spacing w:before="120" w:line="360" w:lineRule="auto"/>
        <w:ind w:firstLine="708"/>
        <w:jc w:val="both"/>
      </w:pPr>
      <w:r w:rsidRPr="005B6E5F">
        <w:t xml:space="preserve">Zaleca się, aby w trakcie praktyki aplikanci zapoznawali się z konkretnymi sprawami z wyżej wymienionego zakresu, brali udział w rozprawach dotyczących tych spraw oraz aby </w:t>
      </w:r>
      <w:r>
        <w:t xml:space="preserve">– przy uwzględnieniu </w:t>
      </w:r>
      <w:r w:rsidRPr="005B6E5F">
        <w:rPr>
          <w:color w:val="000000" w:themeColor="text1"/>
        </w:rPr>
        <w:t xml:space="preserve">trwania </w:t>
      </w:r>
      <w:r>
        <w:t xml:space="preserve">praktyki – </w:t>
      </w:r>
      <w:r w:rsidRPr="005B6E5F">
        <w:t>powierzano im</w:t>
      </w:r>
      <w:r>
        <w:t xml:space="preserve"> możliwie </w:t>
      </w:r>
      <w:r w:rsidRPr="005B6E5F">
        <w:t xml:space="preserve">jak największą liczbę czynności, które utrwalą zdobytą przez nich wiedzę i umiejętności praktyczne, </w:t>
      </w:r>
      <w:r w:rsidR="0016371B">
        <w:br/>
      </w:r>
      <w:r w:rsidRPr="005B6E5F">
        <w:t xml:space="preserve">a w szczególności, aby brali czynny udział w przygotowywaniu projektów zarządzeń </w:t>
      </w:r>
      <w:r w:rsidR="0016371B">
        <w:br/>
      </w:r>
      <w:r w:rsidRPr="005B6E5F">
        <w:t>i orzeczeń wraz z uzasadnieniami.</w:t>
      </w:r>
    </w:p>
    <w:p w:rsidR="007A7743" w:rsidRPr="007A7743" w:rsidRDefault="007A7743" w:rsidP="00EE2CB1">
      <w:pPr>
        <w:spacing w:before="120" w:line="360" w:lineRule="auto"/>
        <w:ind w:firstLine="708"/>
        <w:jc w:val="both"/>
        <w:rPr>
          <w:b/>
          <w:u w:val="single"/>
        </w:rPr>
      </w:pPr>
      <w:r w:rsidRPr="007A7743">
        <w:rPr>
          <w:b/>
          <w:u w:val="single"/>
        </w:rPr>
        <w:t xml:space="preserve">Czynności, które powinny zostać zlecone aplikantowi w trakcie praktyki (czynności </w:t>
      </w:r>
      <w:r w:rsidR="0016371B">
        <w:rPr>
          <w:b/>
          <w:u w:val="single"/>
        </w:rPr>
        <w:t>obligatoryjne</w:t>
      </w:r>
      <w:r w:rsidRPr="007A7743">
        <w:rPr>
          <w:b/>
          <w:u w:val="single"/>
        </w:rPr>
        <w:t>):</w:t>
      </w:r>
    </w:p>
    <w:p w:rsidR="007A7743" w:rsidRPr="007A7743" w:rsidRDefault="007A7743" w:rsidP="007A7743">
      <w:pPr>
        <w:numPr>
          <w:ilvl w:val="0"/>
          <w:numId w:val="38"/>
        </w:numPr>
        <w:spacing w:before="120" w:line="360" w:lineRule="auto"/>
        <w:jc w:val="both"/>
      </w:pPr>
      <w:r w:rsidRPr="007A7743">
        <w:t xml:space="preserve">sporządzenie </w:t>
      </w:r>
      <w:r w:rsidR="00AC7E51" w:rsidRPr="00AC7E51">
        <w:rPr>
          <w:u w:val="single"/>
        </w:rPr>
        <w:t>co najmniej jednego</w:t>
      </w:r>
      <w:r w:rsidR="00AC7E51" w:rsidRPr="00983596">
        <w:t xml:space="preserve"> </w:t>
      </w:r>
      <w:r w:rsidRPr="007A7743">
        <w:t>projekt</w:t>
      </w:r>
      <w:r>
        <w:t>u</w:t>
      </w:r>
      <w:r w:rsidRPr="007A7743">
        <w:t xml:space="preserve"> wyrok</w:t>
      </w:r>
      <w:r>
        <w:t>u</w:t>
      </w:r>
      <w:r w:rsidRPr="007A7743">
        <w:t xml:space="preserve"> wraz z uzasadnieniem </w:t>
      </w:r>
      <w:r w:rsidR="00FE28B5">
        <w:br/>
      </w:r>
      <w:r w:rsidRPr="007A7743">
        <w:t>w spraw</w:t>
      </w:r>
      <w:r>
        <w:t>ie</w:t>
      </w:r>
      <w:r w:rsidRPr="007A7743">
        <w:t xml:space="preserve"> w któr</w:t>
      </w:r>
      <w:r>
        <w:t>ej</w:t>
      </w:r>
      <w:r w:rsidRPr="007A7743">
        <w:t xml:space="preserve"> zgłoszono roszczeni</w:t>
      </w:r>
      <w:r>
        <w:t>e</w:t>
      </w:r>
      <w:r w:rsidR="00FE28B5">
        <w:t>:</w:t>
      </w:r>
      <w:r w:rsidRPr="007A7743">
        <w:t xml:space="preserve"> posesoryjne, petytoryjne, </w:t>
      </w:r>
      <w:r w:rsidR="00FE28B5">
        <w:br/>
      </w:r>
      <w:r w:rsidRPr="007A7743">
        <w:t>o zobowiązanie do złożenia oświadczenia woli albo o nakazanie określonego zachowania się</w:t>
      </w:r>
      <w:r>
        <w:t>;</w:t>
      </w:r>
    </w:p>
    <w:p w:rsidR="009F287F" w:rsidRDefault="007A7743" w:rsidP="007A7743">
      <w:pPr>
        <w:numPr>
          <w:ilvl w:val="0"/>
          <w:numId w:val="38"/>
        </w:numPr>
        <w:spacing w:before="120" w:line="360" w:lineRule="auto"/>
        <w:jc w:val="both"/>
      </w:pPr>
      <w:r w:rsidRPr="007A7743">
        <w:lastRenderedPageBreak/>
        <w:t xml:space="preserve">sporządzenie </w:t>
      </w:r>
      <w:r w:rsidRPr="007A7743">
        <w:rPr>
          <w:u w:val="single"/>
        </w:rPr>
        <w:t xml:space="preserve">co najmniej </w:t>
      </w:r>
      <w:r w:rsidR="009F287F">
        <w:rPr>
          <w:u w:val="single"/>
        </w:rPr>
        <w:t>dwóch</w:t>
      </w:r>
      <w:r w:rsidR="00AC7E51" w:rsidRPr="00983596">
        <w:t xml:space="preserve"> </w:t>
      </w:r>
      <w:r w:rsidRPr="00983596">
        <w:t xml:space="preserve"> </w:t>
      </w:r>
      <w:r w:rsidRPr="007A7743">
        <w:t>projekt</w:t>
      </w:r>
      <w:r w:rsidR="009F287F">
        <w:t>ów</w:t>
      </w:r>
      <w:r w:rsidRPr="007A7743">
        <w:t xml:space="preserve"> postanowie</w:t>
      </w:r>
      <w:r w:rsidR="0016371B">
        <w:t>ń</w:t>
      </w:r>
      <w:r w:rsidRPr="007A7743">
        <w:t xml:space="preserve"> wraz z uzasadnieni</w:t>
      </w:r>
      <w:r w:rsidR="0016371B">
        <w:t>ami</w:t>
      </w:r>
      <w:r>
        <w:t xml:space="preserve"> oraz stosownym</w:t>
      </w:r>
      <w:r w:rsidR="0016371B">
        <w:t>i</w:t>
      </w:r>
      <w:r>
        <w:t xml:space="preserve"> zarządzeni</w:t>
      </w:r>
      <w:r w:rsidR="0016371B">
        <w:t>a</w:t>
      </w:r>
      <w:r w:rsidR="00AC7E51">
        <w:t>m</w:t>
      </w:r>
      <w:r w:rsidR="0016371B">
        <w:t>i</w:t>
      </w:r>
      <w:r w:rsidR="00AC7E51">
        <w:t xml:space="preserve"> </w:t>
      </w:r>
      <w:r>
        <w:t>w przedmiocie rozpoznania wniosk</w:t>
      </w:r>
      <w:r w:rsidR="0016371B">
        <w:t>ów</w:t>
      </w:r>
      <w:r>
        <w:t xml:space="preserve"> </w:t>
      </w:r>
      <w:r w:rsidR="00FE28B5">
        <w:br/>
      </w:r>
      <w:r>
        <w:t xml:space="preserve">o udzielenie </w:t>
      </w:r>
      <w:r w:rsidR="00AC7E51">
        <w:t>zabezpieczenia</w:t>
      </w:r>
      <w:r w:rsidR="009F287F">
        <w:t>:</w:t>
      </w:r>
    </w:p>
    <w:p w:rsidR="007A7743" w:rsidRPr="0016371B" w:rsidRDefault="007A7743" w:rsidP="009F287F">
      <w:pPr>
        <w:numPr>
          <w:ilvl w:val="1"/>
          <w:numId w:val="38"/>
        </w:numPr>
        <w:spacing w:before="120" w:line="360" w:lineRule="auto"/>
        <w:jc w:val="both"/>
      </w:pPr>
      <w:bookmarkStart w:id="0" w:name="_GoBack"/>
      <w:bookmarkEnd w:id="0"/>
      <w:r w:rsidRPr="0016371B">
        <w:t>roszczenia pieniężnego</w:t>
      </w:r>
      <w:r w:rsidR="0016371B">
        <w:t xml:space="preserve"> (</w:t>
      </w:r>
      <w:r w:rsidR="00FE28B5" w:rsidRPr="00FE28B5">
        <w:rPr>
          <w:u w:val="single"/>
        </w:rPr>
        <w:t>jeden</w:t>
      </w:r>
      <w:r w:rsidR="0016371B" w:rsidRPr="00FE28B5">
        <w:rPr>
          <w:u w:val="single"/>
        </w:rPr>
        <w:t xml:space="preserve"> projekt</w:t>
      </w:r>
      <w:r w:rsidR="0016371B">
        <w:t>)</w:t>
      </w:r>
      <w:r w:rsidRPr="0016371B">
        <w:t xml:space="preserve">; </w:t>
      </w:r>
    </w:p>
    <w:p w:rsidR="009F287F" w:rsidRDefault="009F287F" w:rsidP="009F287F">
      <w:pPr>
        <w:numPr>
          <w:ilvl w:val="1"/>
          <w:numId w:val="38"/>
        </w:numPr>
        <w:spacing w:before="120" w:line="360" w:lineRule="auto"/>
        <w:jc w:val="both"/>
      </w:pPr>
      <w:r w:rsidRPr="0016371B">
        <w:t>roszczenia niepieniężnego</w:t>
      </w:r>
      <w:r w:rsidR="0016371B">
        <w:t xml:space="preserve"> (</w:t>
      </w:r>
      <w:r w:rsidR="00FE28B5" w:rsidRPr="00FE28B5">
        <w:rPr>
          <w:u w:val="single"/>
        </w:rPr>
        <w:t>jeden</w:t>
      </w:r>
      <w:r w:rsidR="0016371B" w:rsidRPr="00FE28B5">
        <w:rPr>
          <w:u w:val="single"/>
        </w:rPr>
        <w:t xml:space="preserve"> projekt</w:t>
      </w:r>
      <w:r w:rsidR="0016371B">
        <w:t>)</w:t>
      </w:r>
      <w:r>
        <w:t>;</w:t>
      </w:r>
    </w:p>
    <w:p w:rsidR="007A7743" w:rsidRPr="007A7743" w:rsidRDefault="007A7743" w:rsidP="007A7743">
      <w:pPr>
        <w:numPr>
          <w:ilvl w:val="0"/>
          <w:numId w:val="38"/>
        </w:numPr>
        <w:spacing w:before="120" w:line="360" w:lineRule="auto"/>
        <w:jc w:val="both"/>
      </w:pPr>
      <w:r w:rsidRPr="007A7743">
        <w:t xml:space="preserve">sporządzenie </w:t>
      </w:r>
      <w:r w:rsidR="009F287F" w:rsidRPr="009F287F">
        <w:rPr>
          <w:u w:val="single"/>
        </w:rPr>
        <w:t xml:space="preserve">co najmniej </w:t>
      </w:r>
      <w:r w:rsidRPr="009F287F">
        <w:rPr>
          <w:u w:val="single"/>
        </w:rPr>
        <w:t>jednego</w:t>
      </w:r>
      <w:r>
        <w:t xml:space="preserve"> </w:t>
      </w:r>
      <w:r w:rsidRPr="007A7743">
        <w:t>projekt</w:t>
      </w:r>
      <w:r>
        <w:t xml:space="preserve">u </w:t>
      </w:r>
      <w:r w:rsidRPr="007A7743">
        <w:t>decyzji procesow</w:t>
      </w:r>
      <w:r w:rsidR="0016371B">
        <w:t>ej</w:t>
      </w:r>
      <w:r w:rsidR="00FE28B5">
        <w:t xml:space="preserve"> (w jednej z wymienionych spraw)</w:t>
      </w:r>
      <w:r w:rsidRPr="007A7743">
        <w:t xml:space="preserve">: </w:t>
      </w:r>
    </w:p>
    <w:p w:rsidR="007A7743" w:rsidRPr="007A7743" w:rsidRDefault="007A7743" w:rsidP="007A7743">
      <w:pPr>
        <w:numPr>
          <w:ilvl w:val="0"/>
          <w:numId w:val="39"/>
        </w:numPr>
        <w:spacing w:before="120" w:line="360" w:lineRule="auto"/>
        <w:jc w:val="both"/>
      </w:pPr>
      <w:r w:rsidRPr="007A7743">
        <w:t>podejmowan</w:t>
      </w:r>
      <w:r w:rsidR="0016371B">
        <w:t>ej</w:t>
      </w:r>
      <w:r w:rsidRPr="007A7743">
        <w:t xml:space="preserve"> po złożeniu wniosku o przypozwanie</w:t>
      </w:r>
      <w:r w:rsidR="00FE28B5">
        <w:t xml:space="preserve"> albo</w:t>
      </w:r>
      <w:r w:rsidRPr="007A7743">
        <w:t>;</w:t>
      </w:r>
    </w:p>
    <w:p w:rsidR="007A7743" w:rsidRPr="007A7743" w:rsidRDefault="007A7743" w:rsidP="007A7743">
      <w:pPr>
        <w:numPr>
          <w:ilvl w:val="0"/>
          <w:numId w:val="39"/>
        </w:numPr>
        <w:spacing w:before="120" w:line="360" w:lineRule="auto"/>
        <w:jc w:val="both"/>
      </w:pPr>
      <w:r w:rsidRPr="007A7743">
        <w:t>podejmowan</w:t>
      </w:r>
      <w:r w:rsidR="0016371B">
        <w:t>ej</w:t>
      </w:r>
      <w:r w:rsidRPr="007A7743">
        <w:t xml:space="preserve"> w przypadku przedmiotowej zmiany powództwa (art. 193 k.p.c.)</w:t>
      </w:r>
      <w:r w:rsidR="00FE28B5">
        <w:t xml:space="preserve"> albo</w:t>
      </w:r>
      <w:r w:rsidRPr="007A7743">
        <w:t>;</w:t>
      </w:r>
    </w:p>
    <w:p w:rsidR="007A7743" w:rsidRPr="007A7743" w:rsidRDefault="007A7743" w:rsidP="007A7743">
      <w:pPr>
        <w:numPr>
          <w:ilvl w:val="0"/>
          <w:numId w:val="39"/>
        </w:numPr>
        <w:spacing w:before="120" w:line="360" w:lineRule="auto"/>
        <w:jc w:val="both"/>
      </w:pPr>
      <w:r w:rsidRPr="007A7743">
        <w:t>podejmowan</w:t>
      </w:r>
      <w:r w:rsidR="0016371B">
        <w:t>ej</w:t>
      </w:r>
      <w:r w:rsidRPr="007A7743">
        <w:t xml:space="preserve"> w przypadkach podmiotowej zmiany powództwa (art. 194 – 196 k.p.c.).</w:t>
      </w:r>
    </w:p>
    <w:p w:rsidR="0016371B" w:rsidRPr="0016371B" w:rsidRDefault="002A31A9" w:rsidP="0016371B">
      <w:pPr>
        <w:spacing w:before="120" w:line="360" w:lineRule="auto"/>
        <w:ind w:firstLine="709"/>
        <w:jc w:val="both"/>
      </w:pPr>
      <w:r w:rsidRPr="00876C73">
        <w:t xml:space="preserve">Uprzejmie przypominam, </w:t>
      </w:r>
      <w:r w:rsidR="006E3841">
        <w:t xml:space="preserve">że </w:t>
      </w:r>
      <w:r w:rsidRPr="00876C73">
        <w:t xml:space="preserve">patron praktyki ma obowiązek omówić z aplikantem cel, szczegółowy zakres tematyczny praktyki i jej planowany przebieg oraz zapoznać aplikanta ze swoim stanowiskiem pracy i strukturą organizacyjną jednostki, w której jest zatrudniony. </w:t>
      </w:r>
      <w:r w:rsidR="0016371B" w:rsidRPr="0016371B">
        <w:rPr>
          <w:b/>
        </w:rPr>
        <w:t xml:space="preserve">Natomiast po wykonaniu przez aplikanta czynności należy szczegółowo omówić z nim wyniki jego pracy. </w:t>
      </w:r>
    </w:p>
    <w:p w:rsidR="002A31A9" w:rsidRPr="00876C73" w:rsidRDefault="002A31A9" w:rsidP="002A31A9">
      <w:pPr>
        <w:spacing w:before="120" w:line="360" w:lineRule="auto"/>
        <w:ind w:firstLine="708"/>
        <w:jc w:val="both"/>
      </w:pPr>
      <w:r w:rsidRPr="00876C73">
        <w:t xml:space="preserve">Ponadto informuję, że przedmiotem sprawdzianu, który aplikanci będą </w:t>
      </w:r>
      <w:r w:rsidR="007D4AA3">
        <w:t xml:space="preserve">pisać po zakończeniu praktyki, tj. </w:t>
      </w:r>
      <w:r w:rsidR="00490909">
        <w:t xml:space="preserve">w dniu </w:t>
      </w:r>
      <w:r w:rsidR="00BE0E24">
        <w:rPr>
          <w:b/>
        </w:rPr>
        <w:t xml:space="preserve">25 czerwca </w:t>
      </w:r>
      <w:r w:rsidRPr="00A20227">
        <w:rPr>
          <w:b/>
        </w:rPr>
        <w:t>202</w:t>
      </w:r>
      <w:r w:rsidR="00BE0E24">
        <w:rPr>
          <w:b/>
        </w:rPr>
        <w:t>2</w:t>
      </w:r>
      <w:r w:rsidRPr="00876C73">
        <w:t xml:space="preserve"> r., będzie sporządzenie - na podstawie spreparowanych akt </w:t>
      </w:r>
      <w:r w:rsidRPr="007A7743">
        <w:rPr>
          <w:b/>
        </w:rPr>
        <w:t xml:space="preserve">- projektu dwóch postanowień </w:t>
      </w:r>
      <w:r w:rsidR="00BE0E24" w:rsidRPr="007A7743">
        <w:rPr>
          <w:b/>
        </w:rPr>
        <w:t xml:space="preserve">z uzasadnieniem </w:t>
      </w:r>
      <w:r w:rsidRPr="007A7743">
        <w:rPr>
          <w:b/>
        </w:rPr>
        <w:t xml:space="preserve">dotyczących udzielenia zabezpieczenia, </w:t>
      </w:r>
      <w:r w:rsidR="00BE0E24" w:rsidRPr="007A7743">
        <w:rPr>
          <w:b/>
        </w:rPr>
        <w:t>wraz ze stosownymi zarządzeniami</w:t>
      </w:r>
      <w:r w:rsidR="00BE0E24">
        <w:t xml:space="preserve">, </w:t>
      </w:r>
      <w:r w:rsidRPr="00876C73">
        <w:t>stąd koniecznym jest zwrócenie szczególnej uwagi na nabycie przez aplikantów umiejętności samodzielnego opracowywania projektów orzeczeń w tego rodzaju sprawach.</w:t>
      </w:r>
    </w:p>
    <w:p w:rsidR="00D94FF2" w:rsidRDefault="00007843" w:rsidP="00D94FF2">
      <w:pPr>
        <w:spacing w:line="360" w:lineRule="auto"/>
        <w:jc w:val="both"/>
      </w:pPr>
      <w:r w:rsidRPr="00876C73">
        <w:t xml:space="preserve"> </w:t>
      </w:r>
    </w:p>
    <w:p w:rsidR="00BE0E24" w:rsidRPr="00876C73" w:rsidRDefault="00BE0E24" w:rsidP="00D94FF2">
      <w:pPr>
        <w:spacing w:line="360" w:lineRule="auto"/>
        <w:jc w:val="both"/>
      </w:pPr>
    </w:p>
    <w:p w:rsidR="00D94FF2" w:rsidRPr="00876C73" w:rsidRDefault="00D94FF2" w:rsidP="00D94FF2">
      <w:pPr>
        <w:spacing w:after="100" w:afterAutospacing="1"/>
        <w:ind w:left="4248"/>
        <w:contextualSpacing/>
        <w:jc w:val="center"/>
      </w:pPr>
      <w:r w:rsidRPr="00876C73">
        <w:t>Kierownik Działu Dydaktycznego</w:t>
      </w:r>
    </w:p>
    <w:p w:rsidR="0097525A" w:rsidRDefault="0097525A" w:rsidP="00D94FF2">
      <w:pPr>
        <w:spacing w:after="100" w:afterAutospacing="1"/>
        <w:ind w:left="4248"/>
        <w:contextualSpacing/>
        <w:jc w:val="center"/>
      </w:pPr>
      <w:r>
        <w:t>Ośrodka Aplikacji Sędziowskiej</w:t>
      </w:r>
    </w:p>
    <w:p w:rsidR="0097525A" w:rsidRPr="00876C73" w:rsidRDefault="0097525A" w:rsidP="00D94FF2">
      <w:pPr>
        <w:spacing w:after="100" w:afterAutospacing="1"/>
        <w:ind w:left="4248"/>
        <w:contextualSpacing/>
        <w:jc w:val="center"/>
      </w:pPr>
    </w:p>
    <w:p w:rsidR="00D94FF2" w:rsidRPr="00876C73" w:rsidRDefault="00466021" w:rsidP="00D94FF2">
      <w:pPr>
        <w:spacing w:after="100" w:afterAutospacing="1"/>
        <w:ind w:left="4248"/>
        <w:contextualSpacing/>
        <w:jc w:val="center"/>
      </w:pPr>
      <w:r w:rsidRPr="00876C73">
        <w:t xml:space="preserve">dr </w:t>
      </w:r>
      <w:r w:rsidR="009E6882" w:rsidRPr="00876C73">
        <w:t>Mariusz Kucharczyk</w:t>
      </w:r>
    </w:p>
    <w:p w:rsidR="001854B4" w:rsidRPr="00876C73" w:rsidRDefault="00D94FF2" w:rsidP="00BE0E24">
      <w:pPr>
        <w:spacing w:after="100" w:afterAutospacing="1"/>
        <w:ind w:left="4248"/>
        <w:contextualSpacing/>
        <w:jc w:val="center"/>
      </w:pPr>
      <w:r w:rsidRPr="00876C73">
        <w:t>sędzia</w:t>
      </w:r>
    </w:p>
    <w:sectPr w:rsidR="001854B4" w:rsidRPr="00876C73" w:rsidSect="00FF6DF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560" w:left="1418" w:header="851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293" w:rsidRDefault="002D3293">
      <w:r>
        <w:separator/>
      </w:r>
    </w:p>
  </w:endnote>
  <w:endnote w:type="continuationSeparator" w:id="0">
    <w:p w:rsidR="002D3293" w:rsidRDefault="002D3293">
      <w:r>
        <w:continuationSeparator/>
      </w:r>
    </w:p>
  </w:endnote>
  <w:endnote w:type="continuationNotice" w:id="1">
    <w:p w:rsidR="002D3293" w:rsidRDefault="002D32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9F287F" w:rsidRPr="009F287F" w:rsidTr="00484C65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9F287F" w:rsidRPr="009F287F" w:rsidRDefault="009F287F" w:rsidP="009F287F">
          <w:pPr>
            <w:pStyle w:val="Stopka"/>
          </w:pPr>
        </w:p>
      </w:tc>
    </w:tr>
  </w:tbl>
  <w:p w:rsidR="009F287F" w:rsidRPr="009F287F" w:rsidRDefault="009F287F" w:rsidP="009F287F">
    <w:pPr>
      <w:pStyle w:val="Stopka"/>
    </w:pPr>
    <w:r w:rsidRPr="009F287F">
      <w:t>Krajowa Szkoła Sądownictwa i Prokuratury</w:t>
    </w:r>
  </w:p>
  <w:p w:rsidR="009F287F" w:rsidRPr="009F287F" w:rsidRDefault="009F287F" w:rsidP="009F287F">
    <w:pPr>
      <w:pStyle w:val="Stopka"/>
    </w:pPr>
    <w:r w:rsidRPr="009F287F">
      <w:t>ul. Przy Rondzie 5, 31-547 Kraków</w:t>
    </w:r>
  </w:p>
  <w:p w:rsidR="003E0943" w:rsidRDefault="009F287F">
    <w:pPr>
      <w:pStyle w:val="Stopka"/>
    </w:pPr>
    <w:r>
      <w:t>3</w:t>
    </w:r>
  </w:p>
  <w:p w:rsidR="003E0943" w:rsidRDefault="003E09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3E0943" w:rsidTr="00EE0317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3E0943" w:rsidRPr="0074505E" w:rsidRDefault="003E0943" w:rsidP="00EE0317">
          <w:pPr>
            <w:pStyle w:val="Stopka"/>
            <w:jc w:val="left"/>
            <w:rPr>
              <w:sz w:val="4"/>
              <w:szCs w:val="4"/>
            </w:rPr>
          </w:pPr>
        </w:p>
      </w:tc>
    </w:tr>
  </w:tbl>
  <w:p w:rsidR="003E0943" w:rsidRPr="00A944C8" w:rsidRDefault="003E0943" w:rsidP="00EE0317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3E0943" w:rsidRPr="00A944C8" w:rsidRDefault="003E0943" w:rsidP="00EE0317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3E0943" w:rsidRDefault="009F287F" w:rsidP="00EE0317">
    <w:pPr>
      <w:pStyle w:val="Stopka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293" w:rsidRDefault="002D3293">
      <w:r>
        <w:separator/>
      </w:r>
    </w:p>
  </w:footnote>
  <w:footnote w:type="continuationSeparator" w:id="0">
    <w:p w:rsidR="002D3293" w:rsidRDefault="002D3293">
      <w:r>
        <w:continuationSeparator/>
      </w:r>
    </w:p>
  </w:footnote>
  <w:footnote w:type="continuationNotice" w:id="1">
    <w:p w:rsidR="002D3293" w:rsidRDefault="002D32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43" w:rsidRPr="009B38B3" w:rsidRDefault="003E0943" w:rsidP="00EE0317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43" w:rsidRDefault="002D3293" w:rsidP="00EE0317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3" o:spid="_x0000_s2050" type="#_x0000_t75" style="position:absolute;left:0;text-align:left;margin-left:48.95pt;margin-top:-3.35pt;width:39.45pt;height:37.55pt;z-index:251657728;visibility:visible;mso-wrap-edited:f">
          <v:imagedata r:id="rId1" o:title=""/>
        </v:shape>
      </w:pict>
    </w:r>
    <w:r w:rsidR="003E0943"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3E0943" w:rsidRDefault="003E0943" w:rsidP="00EE0317">
    <w:pPr>
      <w:pStyle w:val="Nagwek"/>
      <w:ind w:right="4959"/>
      <w:jc w:val="center"/>
      <w:rPr>
        <w:b/>
      </w:rPr>
    </w:pPr>
  </w:p>
  <w:p w:rsidR="003E0943" w:rsidRPr="009E7ADE" w:rsidRDefault="003E0943" w:rsidP="00EE0317">
    <w:pPr>
      <w:pStyle w:val="Nagwek"/>
      <w:ind w:left="-851" w:right="5526"/>
      <w:jc w:val="center"/>
      <w:rPr>
        <w:b/>
        <w:sz w:val="8"/>
        <w:szCs w:val="8"/>
      </w:rPr>
    </w:pPr>
  </w:p>
  <w:p w:rsidR="003E0943" w:rsidRPr="00551ABF" w:rsidRDefault="003E0943" w:rsidP="00EE0317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 w:rsidR="00BE2C1E">
      <w:rPr>
        <w:b/>
      </w:rPr>
      <w:t>A</w:t>
    </w:r>
    <w:r w:rsidRPr="00551ABF">
      <w:rPr>
        <w:b/>
      </w:rPr>
      <w:t xml:space="preserve"> SZKOŁ</w:t>
    </w:r>
    <w:r w:rsidR="00BE2C1E">
      <w:rPr>
        <w:b/>
      </w:rPr>
      <w:t>A</w:t>
    </w:r>
  </w:p>
  <w:p w:rsidR="003E0943" w:rsidRPr="00D021CB" w:rsidRDefault="003E0943" w:rsidP="00EE0317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3E0943" w:rsidRPr="004F17DC" w:rsidRDefault="003E0943" w:rsidP="00EE0317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08B"/>
    <w:multiLevelType w:val="hybridMultilevel"/>
    <w:tmpl w:val="BF92F6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5C32D9"/>
    <w:multiLevelType w:val="hybridMultilevel"/>
    <w:tmpl w:val="FCBE9758"/>
    <w:lvl w:ilvl="0" w:tplc="E098E402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2C4AD6"/>
    <w:multiLevelType w:val="hybridMultilevel"/>
    <w:tmpl w:val="066C9D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151D41"/>
    <w:multiLevelType w:val="hybridMultilevel"/>
    <w:tmpl w:val="0172DE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793B98"/>
    <w:multiLevelType w:val="hybridMultilevel"/>
    <w:tmpl w:val="DD5A7FEE"/>
    <w:lvl w:ilvl="0" w:tplc="356CC9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7A5D74"/>
    <w:multiLevelType w:val="hybridMultilevel"/>
    <w:tmpl w:val="E220A6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028EF"/>
    <w:multiLevelType w:val="hybridMultilevel"/>
    <w:tmpl w:val="B784F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87089"/>
    <w:multiLevelType w:val="hybridMultilevel"/>
    <w:tmpl w:val="03286C6C"/>
    <w:lvl w:ilvl="0" w:tplc="C49C087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1212C96"/>
    <w:multiLevelType w:val="hybridMultilevel"/>
    <w:tmpl w:val="6602B978"/>
    <w:lvl w:ilvl="0" w:tplc="4D16C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06429"/>
    <w:multiLevelType w:val="hybridMultilevel"/>
    <w:tmpl w:val="910ABF1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89C30A7"/>
    <w:multiLevelType w:val="hybridMultilevel"/>
    <w:tmpl w:val="F79A8EE8"/>
    <w:lvl w:ilvl="0" w:tplc="28B6594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EF9CE142">
      <w:start w:val="1"/>
      <w:numFmt w:val="lowerLetter"/>
      <w:lvlText w:val="%2)"/>
      <w:lvlJc w:val="left"/>
      <w:pPr>
        <w:ind w:left="180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3D6BF4"/>
    <w:multiLevelType w:val="hybridMultilevel"/>
    <w:tmpl w:val="9196B40E"/>
    <w:lvl w:ilvl="0" w:tplc="B0CADDD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53E4CAB"/>
    <w:multiLevelType w:val="hybridMultilevel"/>
    <w:tmpl w:val="D67A8D50"/>
    <w:lvl w:ilvl="0" w:tplc="C5FA8B8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845B1"/>
    <w:multiLevelType w:val="hybridMultilevel"/>
    <w:tmpl w:val="9D64B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C62EE"/>
    <w:multiLevelType w:val="hybridMultilevel"/>
    <w:tmpl w:val="C4AED4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56E23"/>
    <w:multiLevelType w:val="hybridMultilevel"/>
    <w:tmpl w:val="49C6A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B5653"/>
    <w:multiLevelType w:val="hybridMultilevel"/>
    <w:tmpl w:val="BF9ECB88"/>
    <w:lvl w:ilvl="0" w:tplc="D41AAA88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51CA6E72"/>
    <w:multiLevelType w:val="hybridMultilevel"/>
    <w:tmpl w:val="F8F44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5B3879"/>
    <w:multiLevelType w:val="hybridMultilevel"/>
    <w:tmpl w:val="86BA1862"/>
    <w:lvl w:ilvl="0" w:tplc="22BE2F0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803D9B"/>
    <w:multiLevelType w:val="hybridMultilevel"/>
    <w:tmpl w:val="3AA8B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E2623B"/>
    <w:multiLevelType w:val="hybridMultilevel"/>
    <w:tmpl w:val="1E5E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070670"/>
    <w:multiLevelType w:val="hybridMultilevel"/>
    <w:tmpl w:val="5C78D75C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>
    <w:nsid w:val="54FA4BFF"/>
    <w:multiLevelType w:val="hybridMultilevel"/>
    <w:tmpl w:val="5642A5F6"/>
    <w:lvl w:ilvl="0" w:tplc="AC3AA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78C547D"/>
    <w:multiLevelType w:val="hybridMultilevel"/>
    <w:tmpl w:val="1BB2E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9B2282"/>
    <w:multiLevelType w:val="hybridMultilevel"/>
    <w:tmpl w:val="33387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6644E"/>
    <w:multiLevelType w:val="hybridMultilevel"/>
    <w:tmpl w:val="9D60E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9A0D69"/>
    <w:multiLevelType w:val="hybridMultilevel"/>
    <w:tmpl w:val="CF544AC8"/>
    <w:lvl w:ilvl="0" w:tplc="40546BE0">
      <w:start w:val="1"/>
      <w:numFmt w:val="lowerLetter"/>
      <w:lvlText w:val="%1)"/>
      <w:lvlJc w:val="left"/>
      <w:pPr>
        <w:ind w:left="171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5FC8395A"/>
    <w:multiLevelType w:val="hybridMultilevel"/>
    <w:tmpl w:val="E39098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B94849"/>
    <w:multiLevelType w:val="hybridMultilevel"/>
    <w:tmpl w:val="D7461AD0"/>
    <w:lvl w:ilvl="0" w:tplc="C49C087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B445B6E"/>
    <w:multiLevelType w:val="hybridMultilevel"/>
    <w:tmpl w:val="ADA66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FE1E56"/>
    <w:multiLevelType w:val="hybridMultilevel"/>
    <w:tmpl w:val="201AF2FE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1">
    <w:nsid w:val="792C5763"/>
    <w:multiLevelType w:val="hybridMultilevel"/>
    <w:tmpl w:val="5D54BE5C"/>
    <w:lvl w:ilvl="0" w:tplc="76E0F1F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D63D9"/>
    <w:multiLevelType w:val="hybridMultilevel"/>
    <w:tmpl w:val="7E1EB506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24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0"/>
  </w:num>
  <w:num w:numId="8">
    <w:abstractNumId w:val="22"/>
  </w:num>
  <w:num w:numId="9">
    <w:abstractNumId w:val="28"/>
  </w:num>
  <w:num w:numId="10">
    <w:abstractNumId w:val="18"/>
  </w:num>
  <w:num w:numId="11">
    <w:abstractNumId w:val="11"/>
  </w:num>
  <w:num w:numId="12">
    <w:abstractNumId w:val="7"/>
  </w:num>
  <w:num w:numId="13">
    <w:abstractNumId w:val="1"/>
  </w:num>
  <w:num w:numId="14">
    <w:abstractNumId w:val="14"/>
  </w:num>
  <w:num w:numId="15">
    <w:abstractNumId w:val="8"/>
  </w:num>
  <w:num w:numId="16">
    <w:abstractNumId w:val="3"/>
  </w:num>
  <w:num w:numId="17">
    <w:abstractNumId w:val="16"/>
  </w:num>
  <w:num w:numId="18">
    <w:abstractNumId w:val="6"/>
  </w:num>
  <w:num w:numId="19">
    <w:abstractNumId w:val="19"/>
  </w:num>
  <w:num w:numId="20">
    <w:abstractNumId w:val="25"/>
  </w:num>
  <w:num w:numId="21">
    <w:abstractNumId w:val="9"/>
  </w:num>
  <w:num w:numId="22">
    <w:abstractNumId w:val="23"/>
  </w:num>
  <w:num w:numId="23">
    <w:abstractNumId w:val="29"/>
  </w:num>
  <w:num w:numId="24">
    <w:abstractNumId w:val="27"/>
  </w:num>
  <w:num w:numId="25">
    <w:abstractNumId w:val="13"/>
  </w:num>
  <w:num w:numId="26">
    <w:abstractNumId w:val="21"/>
  </w:num>
  <w:num w:numId="27">
    <w:abstractNumId w:val="32"/>
  </w:num>
  <w:num w:numId="28">
    <w:abstractNumId w:val="30"/>
  </w:num>
  <w:num w:numId="29">
    <w:abstractNumId w:val="13"/>
  </w:num>
  <w:num w:numId="30">
    <w:abstractNumId w:val="23"/>
  </w:num>
  <w:num w:numId="31">
    <w:abstractNumId w:val="5"/>
  </w:num>
  <w:num w:numId="32">
    <w:abstractNumId w:val="21"/>
  </w:num>
  <w:num w:numId="33">
    <w:abstractNumId w:val="3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5"/>
  </w:num>
  <w:num w:numId="38">
    <w:abstractNumId w:val="10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0317"/>
    <w:rsid w:val="00001ED0"/>
    <w:rsid w:val="00007843"/>
    <w:rsid w:val="00015211"/>
    <w:rsid w:val="0002211A"/>
    <w:rsid w:val="00030949"/>
    <w:rsid w:val="00031408"/>
    <w:rsid w:val="00032B33"/>
    <w:rsid w:val="00044080"/>
    <w:rsid w:val="0005540A"/>
    <w:rsid w:val="00056F49"/>
    <w:rsid w:val="00061F71"/>
    <w:rsid w:val="00087C9C"/>
    <w:rsid w:val="000A0943"/>
    <w:rsid w:val="000A1407"/>
    <w:rsid w:val="000A5BA1"/>
    <w:rsid w:val="000A65F8"/>
    <w:rsid w:val="000A676D"/>
    <w:rsid w:val="000B2D57"/>
    <w:rsid w:val="000B3634"/>
    <w:rsid w:val="000B605E"/>
    <w:rsid w:val="000C468D"/>
    <w:rsid w:val="000E2703"/>
    <w:rsid w:val="000E5713"/>
    <w:rsid w:val="000F09A4"/>
    <w:rsid w:val="0010754E"/>
    <w:rsid w:val="00112C3A"/>
    <w:rsid w:val="001155D0"/>
    <w:rsid w:val="00125120"/>
    <w:rsid w:val="00126673"/>
    <w:rsid w:val="0013031D"/>
    <w:rsid w:val="00143678"/>
    <w:rsid w:val="00143E6E"/>
    <w:rsid w:val="00147411"/>
    <w:rsid w:val="00150EF0"/>
    <w:rsid w:val="0015352E"/>
    <w:rsid w:val="00157D1F"/>
    <w:rsid w:val="00161BA5"/>
    <w:rsid w:val="0016286D"/>
    <w:rsid w:val="00163263"/>
    <w:rsid w:val="0016371B"/>
    <w:rsid w:val="001638B6"/>
    <w:rsid w:val="0017060C"/>
    <w:rsid w:val="00170D83"/>
    <w:rsid w:val="00171186"/>
    <w:rsid w:val="00182298"/>
    <w:rsid w:val="00184FE8"/>
    <w:rsid w:val="001854B4"/>
    <w:rsid w:val="0018576F"/>
    <w:rsid w:val="00193CB1"/>
    <w:rsid w:val="001A56CE"/>
    <w:rsid w:val="001A6EE8"/>
    <w:rsid w:val="001B775F"/>
    <w:rsid w:val="001B7E32"/>
    <w:rsid w:val="001C400C"/>
    <w:rsid w:val="001C58F2"/>
    <w:rsid w:val="001D0FA1"/>
    <w:rsid w:val="001D498D"/>
    <w:rsid w:val="001D5861"/>
    <w:rsid w:val="001E4EAB"/>
    <w:rsid w:val="001F595C"/>
    <w:rsid w:val="00204783"/>
    <w:rsid w:val="002108FD"/>
    <w:rsid w:val="00217D36"/>
    <w:rsid w:val="00223241"/>
    <w:rsid w:val="00223DBF"/>
    <w:rsid w:val="0022627C"/>
    <w:rsid w:val="00231A7D"/>
    <w:rsid w:val="00237154"/>
    <w:rsid w:val="002526BA"/>
    <w:rsid w:val="00256D6E"/>
    <w:rsid w:val="00257103"/>
    <w:rsid w:val="00257B26"/>
    <w:rsid w:val="002661AF"/>
    <w:rsid w:val="00282ADF"/>
    <w:rsid w:val="002834EE"/>
    <w:rsid w:val="00286E9B"/>
    <w:rsid w:val="002A0A05"/>
    <w:rsid w:val="002A1121"/>
    <w:rsid w:val="002A31A9"/>
    <w:rsid w:val="002A4707"/>
    <w:rsid w:val="002A6295"/>
    <w:rsid w:val="002B15B3"/>
    <w:rsid w:val="002C0336"/>
    <w:rsid w:val="002C108F"/>
    <w:rsid w:val="002C3D7F"/>
    <w:rsid w:val="002D3293"/>
    <w:rsid w:val="002D457C"/>
    <w:rsid w:val="002D746A"/>
    <w:rsid w:val="002E0539"/>
    <w:rsid w:val="002E053D"/>
    <w:rsid w:val="002E2F8B"/>
    <w:rsid w:val="002F124B"/>
    <w:rsid w:val="002F1306"/>
    <w:rsid w:val="002F2AC8"/>
    <w:rsid w:val="002F4ABD"/>
    <w:rsid w:val="002F6A67"/>
    <w:rsid w:val="0030452E"/>
    <w:rsid w:val="00310321"/>
    <w:rsid w:val="00310736"/>
    <w:rsid w:val="0031313F"/>
    <w:rsid w:val="00314994"/>
    <w:rsid w:val="00316BF9"/>
    <w:rsid w:val="00324669"/>
    <w:rsid w:val="003279DB"/>
    <w:rsid w:val="00330370"/>
    <w:rsid w:val="00331A41"/>
    <w:rsid w:val="00332B11"/>
    <w:rsid w:val="003334A7"/>
    <w:rsid w:val="00336ED0"/>
    <w:rsid w:val="00343E49"/>
    <w:rsid w:val="00345FBA"/>
    <w:rsid w:val="00350C42"/>
    <w:rsid w:val="003651EA"/>
    <w:rsid w:val="00370A9F"/>
    <w:rsid w:val="00383757"/>
    <w:rsid w:val="00386A98"/>
    <w:rsid w:val="003870D8"/>
    <w:rsid w:val="00392CC9"/>
    <w:rsid w:val="00393251"/>
    <w:rsid w:val="003A0DB5"/>
    <w:rsid w:val="003A52BF"/>
    <w:rsid w:val="003A7A15"/>
    <w:rsid w:val="003B67DA"/>
    <w:rsid w:val="003B77F0"/>
    <w:rsid w:val="003C5BB3"/>
    <w:rsid w:val="003D39BE"/>
    <w:rsid w:val="003D4119"/>
    <w:rsid w:val="003D49E8"/>
    <w:rsid w:val="003E0943"/>
    <w:rsid w:val="003E4262"/>
    <w:rsid w:val="003F23EE"/>
    <w:rsid w:val="004126BB"/>
    <w:rsid w:val="004201E0"/>
    <w:rsid w:val="00426154"/>
    <w:rsid w:val="00426C18"/>
    <w:rsid w:val="004331FB"/>
    <w:rsid w:val="00437675"/>
    <w:rsid w:val="0044240F"/>
    <w:rsid w:val="00443102"/>
    <w:rsid w:val="0044633F"/>
    <w:rsid w:val="004549EA"/>
    <w:rsid w:val="0046379B"/>
    <w:rsid w:val="00465C50"/>
    <w:rsid w:val="00466021"/>
    <w:rsid w:val="004741E5"/>
    <w:rsid w:val="00483A81"/>
    <w:rsid w:val="00490909"/>
    <w:rsid w:val="00492943"/>
    <w:rsid w:val="004A7537"/>
    <w:rsid w:val="004B04A0"/>
    <w:rsid w:val="004B4784"/>
    <w:rsid w:val="004C0BD9"/>
    <w:rsid w:val="004C4786"/>
    <w:rsid w:val="004D7B2F"/>
    <w:rsid w:val="00505E18"/>
    <w:rsid w:val="005102D9"/>
    <w:rsid w:val="00511FF6"/>
    <w:rsid w:val="00523E40"/>
    <w:rsid w:val="00524885"/>
    <w:rsid w:val="00550510"/>
    <w:rsid w:val="005526B9"/>
    <w:rsid w:val="00561A97"/>
    <w:rsid w:val="005649EF"/>
    <w:rsid w:val="005668ED"/>
    <w:rsid w:val="00574264"/>
    <w:rsid w:val="005805A9"/>
    <w:rsid w:val="00587214"/>
    <w:rsid w:val="00590575"/>
    <w:rsid w:val="005A6CC6"/>
    <w:rsid w:val="005A6F2B"/>
    <w:rsid w:val="005A7166"/>
    <w:rsid w:val="005B65C1"/>
    <w:rsid w:val="005B6E5F"/>
    <w:rsid w:val="005C28FA"/>
    <w:rsid w:val="005C4052"/>
    <w:rsid w:val="005D1A59"/>
    <w:rsid w:val="005D5059"/>
    <w:rsid w:val="005E261B"/>
    <w:rsid w:val="005E4833"/>
    <w:rsid w:val="005E5A5B"/>
    <w:rsid w:val="005F2277"/>
    <w:rsid w:val="00604E58"/>
    <w:rsid w:val="00606CDE"/>
    <w:rsid w:val="00613065"/>
    <w:rsid w:val="00622432"/>
    <w:rsid w:val="00623AEE"/>
    <w:rsid w:val="006326DB"/>
    <w:rsid w:val="0063293A"/>
    <w:rsid w:val="00632AF4"/>
    <w:rsid w:val="00633578"/>
    <w:rsid w:val="0063584D"/>
    <w:rsid w:val="00637E3D"/>
    <w:rsid w:val="006411E2"/>
    <w:rsid w:val="00646DAF"/>
    <w:rsid w:val="006524AF"/>
    <w:rsid w:val="00664109"/>
    <w:rsid w:val="00666C79"/>
    <w:rsid w:val="00667965"/>
    <w:rsid w:val="0067372A"/>
    <w:rsid w:val="00675837"/>
    <w:rsid w:val="006832E0"/>
    <w:rsid w:val="00690375"/>
    <w:rsid w:val="006917E2"/>
    <w:rsid w:val="006C04F9"/>
    <w:rsid w:val="006C09B0"/>
    <w:rsid w:val="006C4FF7"/>
    <w:rsid w:val="006C5008"/>
    <w:rsid w:val="006C5695"/>
    <w:rsid w:val="006C5D14"/>
    <w:rsid w:val="006C6A93"/>
    <w:rsid w:val="006C7EA9"/>
    <w:rsid w:val="006D3102"/>
    <w:rsid w:val="006D4452"/>
    <w:rsid w:val="006D6B3E"/>
    <w:rsid w:val="006D78CD"/>
    <w:rsid w:val="006E3841"/>
    <w:rsid w:val="006F2B50"/>
    <w:rsid w:val="007126B3"/>
    <w:rsid w:val="00724FF1"/>
    <w:rsid w:val="007259C5"/>
    <w:rsid w:val="00736B5D"/>
    <w:rsid w:val="00740DFE"/>
    <w:rsid w:val="00745485"/>
    <w:rsid w:val="00746720"/>
    <w:rsid w:val="007612C1"/>
    <w:rsid w:val="00766AE7"/>
    <w:rsid w:val="007730E4"/>
    <w:rsid w:val="00774415"/>
    <w:rsid w:val="0078723F"/>
    <w:rsid w:val="007901DE"/>
    <w:rsid w:val="007917C7"/>
    <w:rsid w:val="007947EE"/>
    <w:rsid w:val="007A2867"/>
    <w:rsid w:val="007A7743"/>
    <w:rsid w:val="007C68F3"/>
    <w:rsid w:val="007C6AE2"/>
    <w:rsid w:val="007D2986"/>
    <w:rsid w:val="007D4AA3"/>
    <w:rsid w:val="007E3B73"/>
    <w:rsid w:val="007F4C1F"/>
    <w:rsid w:val="007F63BF"/>
    <w:rsid w:val="007F793E"/>
    <w:rsid w:val="00802B9F"/>
    <w:rsid w:val="00805512"/>
    <w:rsid w:val="008149E4"/>
    <w:rsid w:val="0082092C"/>
    <w:rsid w:val="0082154F"/>
    <w:rsid w:val="00826E91"/>
    <w:rsid w:val="008361AF"/>
    <w:rsid w:val="00836753"/>
    <w:rsid w:val="0083735A"/>
    <w:rsid w:val="00845D9B"/>
    <w:rsid w:val="00851075"/>
    <w:rsid w:val="00851C05"/>
    <w:rsid w:val="008549D3"/>
    <w:rsid w:val="00861C90"/>
    <w:rsid w:val="00862151"/>
    <w:rsid w:val="00864EC0"/>
    <w:rsid w:val="00865163"/>
    <w:rsid w:val="00866AFA"/>
    <w:rsid w:val="00876C73"/>
    <w:rsid w:val="0088190F"/>
    <w:rsid w:val="008935DC"/>
    <w:rsid w:val="00897EA5"/>
    <w:rsid w:val="008B199A"/>
    <w:rsid w:val="008C70DD"/>
    <w:rsid w:val="008D4877"/>
    <w:rsid w:val="008E2ABF"/>
    <w:rsid w:val="008E32AE"/>
    <w:rsid w:val="008E45A4"/>
    <w:rsid w:val="008F01C4"/>
    <w:rsid w:val="008F6B0D"/>
    <w:rsid w:val="00906058"/>
    <w:rsid w:val="009070CF"/>
    <w:rsid w:val="0090738F"/>
    <w:rsid w:val="009247F0"/>
    <w:rsid w:val="009278BF"/>
    <w:rsid w:val="00951923"/>
    <w:rsid w:val="00951A86"/>
    <w:rsid w:val="00964355"/>
    <w:rsid w:val="00965A82"/>
    <w:rsid w:val="009665B1"/>
    <w:rsid w:val="0097441A"/>
    <w:rsid w:val="0097525A"/>
    <w:rsid w:val="009812FD"/>
    <w:rsid w:val="00983596"/>
    <w:rsid w:val="00984FCD"/>
    <w:rsid w:val="009864C3"/>
    <w:rsid w:val="00993A8C"/>
    <w:rsid w:val="00996F96"/>
    <w:rsid w:val="00997425"/>
    <w:rsid w:val="009A34ED"/>
    <w:rsid w:val="009A3791"/>
    <w:rsid w:val="009B4117"/>
    <w:rsid w:val="009B4D47"/>
    <w:rsid w:val="009C380B"/>
    <w:rsid w:val="009C4BFE"/>
    <w:rsid w:val="009C5A1D"/>
    <w:rsid w:val="009D3E07"/>
    <w:rsid w:val="009D6AF3"/>
    <w:rsid w:val="009E148A"/>
    <w:rsid w:val="009E5E12"/>
    <w:rsid w:val="009E6882"/>
    <w:rsid w:val="009F0316"/>
    <w:rsid w:val="009F1086"/>
    <w:rsid w:val="009F287F"/>
    <w:rsid w:val="00A028D1"/>
    <w:rsid w:val="00A057B7"/>
    <w:rsid w:val="00A20227"/>
    <w:rsid w:val="00A27599"/>
    <w:rsid w:val="00A3380C"/>
    <w:rsid w:val="00A350DA"/>
    <w:rsid w:val="00A4242F"/>
    <w:rsid w:val="00A505C8"/>
    <w:rsid w:val="00A64424"/>
    <w:rsid w:val="00A65EDE"/>
    <w:rsid w:val="00A70BD3"/>
    <w:rsid w:val="00A93AE1"/>
    <w:rsid w:val="00A95408"/>
    <w:rsid w:val="00A96E0A"/>
    <w:rsid w:val="00AA281A"/>
    <w:rsid w:val="00AA790C"/>
    <w:rsid w:val="00AB3055"/>
    <w:rsid w:val="00AB6740"/>
    <w:rsid w:val="00AC7E51"/>
    <w:rsid w:val="00AD40FF"/>
    <w:rsid w:val="00AD68A3"/>
    <w:rsid w:val="00AE1D92"/>
    <w:rsid w:val="00AE277A"/>
    <w:rsid w:val="00AE39A9"/>
    <w:rsid w:val="00AE69A6"/>
    <w:rsid w:val="00AF45D6"/>
    <w:rsid w:val="00AF61FA"/>
    <w:rsid w:val="00AF7E91"/>
    <w:rsid w:val="00B016BF"/>
    <w:rsid w:val="00B02348"/>
    <w:rsid w:val="00B04C4A"/>
    <w:rsid w:val="00B07AC8"/>
    <w:rsid w:val="00B148C7"/>
    <w:rsid w:val="00B20733"/>
    <w:rsid w:val="00B27BCE"/>
    <w:rsid w:val="00B42FD3"/>
    <w:rsid w:val="00B56F2E"/>
    <w:rsid w:val="00B57786"/>
    <w:rsid w:val="00B81F47"/>
    <w:rsid w:val="00B82ADB"/>
    <w:rsid w:val="00B84BCE"/>
    <w:rsid w:val="00B85280"/>
    <w:rsid w:val="00B94D38"/>
    <w:rsid w:val="00BA1C59"/>
    <w:rsid w:val="00BA5201"/>
    <w:rsid w:val="00BA7FE7"/>
    <w:rsid w:val="00BB11BE"/>
    <w:rsid w:val="00BB122C"/>
    <w:rsid w:val="00BB2931"/>
    <w:rsid w:val="00BB5EC2"/>
    <w:rsid w:val="00BB772D"/>
    <w:rsid w:val="00BC04B9"/>
    <w:rsid w:val="00BC0B59"/>
    <w:rsid w:val="00BC354F"/>
    <w:rsid w:val="00BC7BE9"/>
    <w:rsid w:val="00BE0E24"/>
    <w:rsid w:val="00BE2C1E"/>
    <w:rsid w:val="00BE4221"/>
    <w:rsid w:val="00BE4E8C"/>
    <w:rsid w:val="00BE519E"/>
    <w:rsid w:val="00BE5C2F"/>
    <w:rsid w:val="00BF5C3F"/>
    <w:rsid w:val="00C10AC8"/>
    <w:rsid w:val="00C128BC"/>
    <w:rsid w:val="00C17E26"/>
    <w:rsid w:val="00C34CDB"/>
    <w:rsid w:val="00C440C8"/>
    <w:rsid w:val="00C4493C"/>
    <w:rsid w:val="00C47D92"/>
    <w:rsid w:val="00C47F3F"/>
    <w:rsid w:val="00C500EA"/>
    <w:rsid w:val="00C57552"/>
    <w:rsid w:val="00C6797A"/>
    <w:rsid w:val="00C7030C"/>
    <w:rsid w:val="00C76B67"/>
    <w:rsid w:val="00C8587E"/>
    <w:rsid w:val="00C8706B"/>
    <w:rsid w:val="00C90EBA"/>
    <w:rsid w:val="00C93323"/>
    <w:rsid w:val="00C965D3"/>
    <w:rsid w:val="00CA13A6"/>
    <w:rsid w:val="00CA1CF8"/>
    <w:rsid w:val="00CA6CEB"/>
    <w:rsid w:val="00CB18B2"/>
    <w:rsid w:val="00CB52C2"/>
    <w:rsid w:val="00CB5322"/>
    <w:rsid w:val="00CC777C"/>
    <w:rsid w:val="00CC7CEE"/>
    <w:rsid w:val="00CD3CAC"/>
    <w:rsid w:val="00CE366E"/>
    <w:rsid w:val="00CE3808"/>
    <w:rsid w:val="00CE4AD7"/>
    <w:rsid w:val="00CE6476"/>
    <w:rsid w:val="00CF0630"/>
    <w:rsid w:val="00CF63F3"/>
    <w:rsid w:val="00D1362F"/>
    <w:rsid w:val="00D21442"/>
    <w:rsid w:val="00D26A76"/>
    <w:rsid w:val="00D344B8"/>
    <w:rsid w:val="00D37EE8"/>
    <w:rsid w:val="00D41232"/>
    <w:rsid w:val="00D44497"/>
    <w:rsid w:val="00D54CB2"/>
    <w:rsid w:val="00D56BB4"/>
    <w:rsid w:val="00D5776A"/>
    <w:rsid w:val="00D61ADB"/>
    <w:rsid w:val="00D723AD"/>
    <w:rsid w:val="00D73891"/>
    <w:rsid w:val="00D832AB"/>
    <w:rsid w:val="00D835F9"/>
    <w:rsid w:val="00D83918"/>
    <w:rsid w:val="00D846DE"/>
    <w:rsid w:val="00D85D5A"/>
    <w:rsid w:val="00D8600B"/>
    <w:rsid w:val="00D94FF2"/>
    <w:rsid w:val="00DA3272"/>
    <w:rsid w:val="00DA440B"/>
    <w:rsid w:val="00DA4D81"/>
    <w:rsid w:val="00DA7575"/>
    <w:rsid w:val="00DB76E0"/>
    <w:rsid w:val="00DC0292"/>
    <w:rsid w:val="00DC1B24"/>
    <w:rsid w:val="00DD1350"/>
    <w:rsid w:val="00DD26B4"/>
    <w:rsid w:val="00DD3F19"/>
    <w:rsid w:val="00DD6CCF"/>
    <w:rsid w:val="00DE6D28"/>
    <w:rsid w:val="00DF442B"/>
    <w:rsid w:val="00DF7BED"/>
    <w:rsid w:val="00E0128E"/>
    <w:rsid w:val="00E032F9"/>
    <w:rsid w:val="00E17E32"/>
    <w:rsid w:val="00E20DFE"/>
    <w:rsid w:val="00E237CC"/>
    <w:rsid w:val="00E25776"/>
    <w:rsid w:val="00E42D1D"/>
    <w:rsid w:val="00E4417E"/>
    <w:rsid w:val="00E46164"/>
    <w:rsid w:val="00E46468"/>
    <w:rsid w:val="00E46996"/>
    <w:rsid w:val="00E50E48"/>
    <w:rsid w:val="00E5380B"/>
    <w:rsid w:val="00E54C64"/>
    <w:rsid w:val="00E54FAD"/>
    <w:rsid w:val="00E7502A"/>
    <w:rsid w:val="00E765DE"/>
    <w:rsid w:val="00E85732"/>
    <w:rsid w:val="00E95DEB"/>
    <w:rsid w:val="00EA2A00"/>
    <w:rsid w:val="00EB6A7F"/>
    <w:rsid w:val="00EB7116"/>
    <w:rsid w:val="00EC2CA0"/>
    <w:rsid w:val="00EE0317"/>
    <w:rsid w:val="00EE2CB1"/>
    <w:rsid w:val="00EF2EA1"/>
    <w:rsid w:val="00EF305E"/>
    <w:rsid w:val="00EF38CC"/>
    <w:rsid w:val="00F075FA"/>
    <w:rsid w:val="00F07E82"/>
    <w:rsid w:val="00F139BC"/>
    <w:rsid w:val="00F13E5F"/>
    <w:rsid w:val="00F17520"/>
    <w:rsid w:val="00F17585"/>
    <w:rsid w:val="00F2389D"/>
    <w:rsid w:val="00F23BFD"/>
    <w:rsid w:val="00F3403B"/>
    <w:rsid w:val="00F3437F"/>
    <w:rsid w:val="00F40CE3"/>
    <w:rsid w:val="00F4169D"/>
    <w:rsid w:val="00F42A9B"/>
    <w:rsid w:val="00F4499D"/>
    <w:rsid w:val="00F45026"/>
    <w:rsid w:val="00F551BF"/>
    <w:rsid w:val="00F60240"/>
    <w:rsid w:val="00F60EBF"/>
    <w:rsid w:val="00F6694F"/>
    <w:rsid w:val="00F70AB1"/>
    <w:rsid w:val="00F821F8"/>
    <w:rsid w:val="00F82E24"/>
    <w:rsid w:val="00F87808"/>
    <w:rsid w:val="00F919AD"/>
    <w:rsid w:val="00F92C56"/>
    <w:rsid w:val="00F97AAC"/>
    <w:rsid w:val="00FA127B"/>
    <w:rsid w:val="00FB126D"/>
    <w:rsid w:val="00FB4F16"/>
    <w:rsid w:val="00FB669B"/>
    <w:rsid w:val="00FC096D"/>
    <w:rsid w:val="00FC2D6A"/>
    <w:rsid w:val="00FD1EE6"/>
    <w:rsid w:val="00FE1AA8"/>
    <w:rsid w:val="00FE224C"/>
    <w:rsid w:val="00FE28B5"/>
    <w:rsid w:val="00FE4018"/>
    <w:rsid w:val="00FE48D7"/>
    <w:rsid w:val="00FF6DF9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0317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7901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E031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E0317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NagwekZnak">
    <w:name w:val="Nagłówek Znak"/>
    <w:link w:val="Nagwek"/>
    <w:locked/>
    <w:rsid w:val="00EE0317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EE0317"/>
    <w:rPr>
      <w:lang w:val="pl-PL" w:eastAsia="pl-PL" w:bidi="ar-SA"/>
    </w:rPr>
  </w:style>
  <w:style w:type="paragraph" w:customStyle="1" w:styleId="Akapitzlist1">
    <w:name w:val="Akapit z listą1"/>
    <w:basedOn w:val="Normalny"/>
    <w:rsid w:val="00EE0317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170D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50C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50C42"/>
    <w:rPr>
      <w:rFonts w:ascii="Tahoma" w:hAnsi="Tahoma" w:cs="Tahoma"/>
      <w:sz w:val="16"/>
      <w:szCs w:val="16"/>
    </w:rPr>
  </w:style>
  <w:style w:type="paragraph" w:customStyle="1" w:styleId="Pawe">
    <w:name w:val="Paweł"/>
    <w:basedOn w:val="Normalny"/>
    <w:autoRedefine/>
    <w:rsid w:val="00F139BC"/>
    <w:pPr>
      <w:spacing w:line="360" w:lineRule="auto"/>
      <w:ind w:left="360" w:firstLine="348"/>
      <w:jc w:val="both"/>
    </w:pPr>
    <w:rPr>
      <w:sz w:val="22"/>
    </w:rPr>
  </w:style>
  <w:style w:type="character" w:customStyle="1" w:styleId="Nagwek3Znak">
    <w:name w:val="Nagłówek 3 Znak"/>
    <w:link w:val="Nagwek3"/>
    <w:rsid w:val="007901D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Default">
    <w:name w:val="Default"/>
    <w:basedOn w:val="Normalny"/>
    <w:rsid w:val="000B2D57"/>
    <w:pPr>
      <w:autoSpaceDE w:val="0"/>
      <w:autoSpaceDN w:val="0"/>
    </w:pPr>
    <w:rPr>
      <w:rFonts w:eastAsia="Calibri"/>
      <w:color w:val="000000"/>
      <w:lang w:eastAsia="en-US"/>
    </w:rPr>
  </w:style>
  <w:style w:type="paragraph" w:styleId="Poprawka">
    <w:name w:val="Revision"/>
    <w:hidden/>
    <w:uiPriority w:val="99"/>
    <w:semiHidden/>
    <w:rsid w:val="00237154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3D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411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4119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0317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7901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E031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E0317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NagwekZnak">
    <w:name w:val="Nagłówek Znak"/>
    <w:link w:val="Nagwek"/>
    <w:locked/>
    <w:rsid w:val="00EE0317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EE0317"/>
    <w:rPr>
      <w:lang w:val="pl-PL" w:eastAsia="pl-PL" w:bidi="ar-SA"/>
    </w:rPr>
  </w:style>
  <w:style w:type="paragraph" w:customStyle="1" w:styleId="Akapitzlist1">
    <w:name w:val="Akapit z listą1"/>
    <w:basedOn w:val="Normalny"/>
    <w:rsid w:val="00EE0317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170D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50C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50C42"/>
    <w:rPr>
      <w:rFonts w:ascii="Tahoma" w:hAnsi="Tahoma" w:cs="Tahoma"/>
      <w:sz w:val="16"/>
      <w:szCs w:val="16"/>
    </w:rPr>
  </w:style>
  <w:style w:type="paragraph" w:customStyle="1" w:styleId="Pawe">
    <w:name w:val="Paweł"/>
    <w:basedOn w:val="Normalny"/>
    <w:autoRedefine/>
    <w:rsid w:val="00F139BC"/>
    <w:pPr>
      <w:spacing w:line="360" w:lineRule="auto"/>
      <w:ind w:left="360" w:firstLine="348"/>
      <w:jc w:val="both"/>
    </w:pPr>
    <w:rPr>
      <w:sz w:val="22"/>
    </w:rPr>
  </w:style>
  <w:style w:type="character" w:customStyle="1" w:styleId="Nagwek3Znak">
    <w:name w:val="Nagłówek 3 Znak"/>
    <w:link w:val="Nagwek3"/>
    <w:rsid w:val="007901D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Default">
    <w:name w:val="Default"/>
    <w:basedOn w:val="Normalny"/>
    <w:rsid w:val="000B2D57"/>
    <w:pPr>
      <w:autoSpaceDE w:val="0"/>
      <w:autoSpaceDN w:val="0"/>
    </w:pPr>
    <w:rPr>
      <w:rFonts w:eastAsia="Calibri"/>
      <w:color w:val="000000"/>
      <w:lang w:eastAsia="en-US"/>
    </w:rPr>
  </w:style>
  <w:style w:type="paragraph" w:styleId="Poprawka">
    <w:name w:val="Revision"/>
    <w:hidden/>
    <w:uiPriority w:val="99"/>
    <w:semiHidden/>
    <w:rsid w:val="00237154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3D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4119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4119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39740-E050-4E78-9FD5-01A0EC03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2022-05-02T07:53:00Z</dcterms:created>
  <dcterms:modified xsi:type="dcterms:W3CDTF">2022-05-02T07:53:00Z</dcterms:modified>
</cp:coreProperties>
</file>