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39" w:rsidRDefault="00083D39" w:rsidP="00083D39">
      <w:pPr>
        <w:spacing w:after="120"/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                   Kraków, dnia 21 marca  2023 r.</w:t>
      </w:r>
    </w:p>
    <w:p w:rsidR="00083D39" w:rsidRDefault="00083D39" w:rsidP="00083D39">
      <w:pPr>
        <w:spacing w:after="120"/>
      </w:pPr>
      <w:r>
        <w:t xml:space="preserve">OAP-II.420.9.10.2022                                                                               </w:t>
      </w:r>
    </w:p>
    <w:p w:rsidR="00083D39" w:rsidRDefault="00083D39" w:rsidP="00083D39">
      <w:pPr>
        <w:spacing w:after="120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Patroni Koordynatorzy</w:t>
      </w:r>
    </w:p>
    <w:p w:rsidR="00083D39" w:rsidRDefault="00083D39" w:rsidP="00083D39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oraz Patroni Praktyk</w:t>
      </w:r>
    </w:p>
    <w:p w:rsidR="00083D39" w:rsidRDefault="00083D39" w:rsidP="00083D39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aplikantów aplikacji prokuratorskiej</w:t>
      </w:r>
    </w:p>
    <w:p w:rsidR="00083D39" w:rsidRDefault="00083D39" w:rsidP="00083D39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083D39" w:rsidRDefault="00083D39" w:rsidP="00083D39">
      <w:pPr>
        <w:spacing w:after="120"/>
        <w:rPr>
          <w:b/>
          <w:i/>
        </w:rPr>
      </w:pPr>
      <w:r>
        <w:rPr>
          <w:b/>
          <w:i/>
        </w:rPr>
        <w:t>Dotyczy:  praktyk aplikantów aplikacji prokuratorskiej XIII  rocznika po 17  zjeździe</w:t>
      </w:r>
    </w:p>
    <w:p w:rsidR="00083D39" w:rsidRDefault="00083D39" w:rsidP="00083D39">
      <w:pPr>
        <w:spacing w:after="120"/>
        <w:ind w:firstLine="708"/>
        <w:jc w:val="both"/>
      </w:pPr>
      <w:r>
        <w:t>Na podstawie §</w:t>
      </w:r>
      <w:r w:rsidR="00C32F7B">
        <w:t>1 ust.2</w:t>
      </w:r>
      <w:bookmarkStart w:id="0" w:name="_GoBack"/>
      <w:bookmarkEnd w:id="0"/>
      <w:r>
        <w:t xml:space="preserve"> zarządzenia Dyrektora Krajowej Szkoły Sądownictwa i Prokuratury w Krakowie Nr </w:t>
      </w:r>
      <w:r w:rsidR="00C32F7B">
        <w:t>539</w:t>
      </w:r>
      <w:r>
        <w:t>/20</w:t>
      </w:r>
      <w:r w:rsidR="00C32F7B">
        <w:t>21</w:t>
      </w:r>
      <w:r>
        <w:t xml:space="preserve"> z dnia </w:t>
      </w:r>
      <w:r w:rsidR="00C32F7B">
        <w:t>27 października</w:t>
      </w:r>
      <w:r>
        <w:t>20</w:t>
      </w:r>
      <w:r w:rsidR="00C32F7B">
        <w:t>21</w:t>
      </w:r>
      <w:r>
        <w:t xml:space="preserve"> roku w sprawie szczegółowych zasad odbywania praktyk przez aplikantów aplikacji sędziowskiej i</w:t>
      </w:r>
      <w:r w:rsidR="00C32F7B">
        <w:t xml:space="preserve"> aplikacji </w:t>
      </w:r>
      <w:r>
        <w:t xml:space="preserve"> prokuratorskiej uprzejmie przedstawiam szczegółowy zakres tematyczny, który winien być przedmiotem praktyk aplikantów aplikacji prokuratorskiej odbywanych w prokuraturach okręgowych – wydziałach lub działach sądowych (3 tygodnie, tj. </w:t>
      </w:r>
      <w:r>
        <w:rPr>
          <w:b/>
        </w:rPr>
        <w:t>od 7 do 25 sierpnia 2023</w:t>
      </w:r>
      <w:r>
        <w:t xml:space="preserve"> r., w tym   </w:t>
      </w:r>
      <w:r>
        <w:rPr>
          <w:u w:val="single"/>
        </w:rPr>
        <w:t>z udział w posiedzeniu sądu penitencjarnego na terenie zakładu karnego lub aresztu śledczego oraz odbycie co najmniej 1 dnia praktyki w zakładzie karnym lub areszcie śledczym</w:t>
      </w:r>
      <w:r>
        <w:t xml:space="preserve">). </w:t>
      </w:r>
    </w:p>
    <w:p w:rsidR="00083D39" w:rsidRDefault="00083D39" w:rsidP="00083D39">
      <w:pPr>
        <w:spacing w:after="120"/>
        <w:ind w:firstLine="708"/>
        <w:jc w:val="both"/>
      </w:pPr>
      <w:r>
        <w:t xml:space="preserve">Zasadniczym celem  niniejszej praktyki jest zapoznanie aplikanta z problematyką </w:t>
      </w:r>
      <w:r>
        <w:rPr>
          <w:b/>
        </w:rPr>
        <w:t>sporządzania kasacji  i odpowiedzi na kasację</w:t>
      </w:r>
      <w:r>
        <w:t xml:space="preserve">, utrwalenie umiejętności </w:t>
      </w:r>
      <w:r>
        <w:rPr>
          <w:b/>
        </w:rPr>
        <w:t>sporządzania zażalenia na postanowienia o odroczeniu wykonania kary pozbawienia wolności, o udzieleniu przerwy w wykonaniu kary pozbawienia wolności oraz o warunkowym przedterminowym zwolnieniu</w:t>
      </w:r>
      <w:r>
        <w:t>, a nadto zapoznanie aplikantów z metodyką udziału prokuratora w postępowaniach objętych tematyką zjazdu.</w:t>
      </w:r>
    </w:p>
    <w:p w:rsidR="00083D39" w:rsidRDefault="00083D39" w:rsidP="00083D39">
      <w:pPr>
        <w:spacing w:after="120"/>
        <w:ind w:firstLine="708"/>
        <w:jc w:val="both"/>
        <w:rPr>
          <w:b/>
        </w:rPr>
      </w:pPr>
      <w:r>
        <w:rPr>
          <w:b/>
        </w:rPr>
        <w:t>Patroni praktyk w toku szkolenia winni zadbać o to, aby aplikanci w czasie praktyk mieli możliwość:</w:t>
      </w:r>
    </w:p>
    <w:p w:rsidR="00083D39" w:rsidRDefault="00083D39" w:rsidP="00083D39">
      <w:pPr>
        <w:pStyle w:val="Akapitzlist"/>
        <w:numPr>
          <w:ilvl w:val="0"/>
          <w:numId w:val="5"/>
        </w:numPr>
        <w:spacing w:after="120"/>
        <w:jc w:val="both"/>
      </w:pPr>
      <w:r>
        <w:t>opracowania 3 projektów kasacji lub odpowiedzi na kasację w sprawie karnej, albo stanowiska prokuratora o odstąpieniu od wywiedzenia kasacji</w:t>
      </w:r>
    </w:p>
    <w:p w:rsidR="00083D39" w:rsidRDefault="00083D39" w:rsidP="00083D39">
      <w:pPr>
        <w:pStyle w:val="Akapitzlist"/>
        <w:numPr>
          <w:ilvl w:val="0"/>
          <w:numId w:val="5"/>
        </w:numPr>
        <w:spacing w:after="120"/>
        <w:jc w:val="both"/>
      </w:pPr>
      <w:r>
        <w:t xml:space="preserve">po 1 projekcie zażalenia na postanowienie o odroczeniu wykonania kary pozbawienia wolności, o udzieleniu przerwy w wykonaniu kary pozbawienia wolności oraz o warunkowym przedterminowym zwolnieniu. </w:t>
      </w:r>
    </w:p>
    <w:p w:rsidR="00083D39" w:rsidRDefault="00083D39" w:rsidP="00083D39">
      <w:pPr>
        <w:spacing w:after="120"/>
        <w:ind w:firstLine="708"/>
        <w:jc w:val="both"/>
      </w:pPr>
      <w:r>
        <w:rPr>
          <w:b/>
        </w:rPr>
        <w:t>Mając na uwadze, iż przedmiotem sprawdzianu po 17. zjeździe, który aplikanci będą pisać w dniu 28 sierpnia 2023 roku jest sporządzenie projektu nadzwyczajnego środka zaskarżenia lub odpowiedzi na taki środek, podstawowym celem praktyki jest, aby aplikanci opanowali tę właśnie umiejętność w jak najwyższym stopniu.</w:t>
      </w:r>
      <w:r>
        <w:t xml:space="preserve"> </w:t>
      </w:r>
    </w:p>
    <w:p w:rsidR="00083D39" w:rsidRDefault="00083D39" w:rsidP="00083D39">
      <w:pPr>
        <w:spacing w:after="120"/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 xml:space="preserve">Kierownik </w:t>
      </w:r>
    </w:p>
    <w:p w:rsidR="00083D39" w:rsidRDefault="00083D39" w:rsidP="00083D39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083D39" w:rsidRDefault="00083D39" w:rsidP="00083D39">
      <w:pPr>
        <w:spacing w:after="120"/>
        <w:jc w:val="center"/>
        <w:rPr>
          <w:b/>
        </w:rPr>
      </w:pPr>
      <w:r>
        <w:rPr>
          <w:b/>
        </w:rPr>
        <w:t>w Ośrodku Aplikacji Prokuratorskiej</w:t>
      </w:r>
    </w:p>
    <w:p w:rsidR="00083D39" w:rsidRDefault="00083D39" w:rsidP="00083D39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083D39" w:rsidRDefault="00083D39" w:rsidP="00083D39">
      <w:pPr>
        <w:spacing w:after="120"/>
        <w:jc w:val="center"/>
      </w:pPr>
      <w:r>
        <w:rPr>
          <w:b/>
        </w:rPr>
        <w:t>prokurator</w:t>
      </w:r>
    </w:p>
    <w:p w:rsidR="00083D39" w:rsidRDefault="00083D39" w:rsidP="00083D39"/>
    <w:p w:rsidR="00083D39" w:rsidRDefault="00083D39" w:rsidP="00083D39"/>
    <w:p w:rsidR="00083D39" w:rsidRDefault="00083D39" w:rsidP="00083D39"/>
    <w:p w:rsidR="00083D39" w:rsidRDefault="00083D39" w:rsidP="00083D39">
      <w:pPr>
        <w:rPr>
          <w:u w:val="single"/>
        </w:rPr>
      </w:pPr>
      <w:r>
        <w:rPr>
          <w:u w:val="single"/>
        </w:rPr>
        <w:t>Załącznik do zaleceń do praktyk po 17 zjeździe XIII rocznika aplikacji prokuratorskiej:</w:t>
      </w:r>
    </w:p>
    <w:p w:rsidR="00083D39" w:rsidRDefault="00083D39" w:rsidP="00083D39">
      <w:pPr>
        <w:spacing w:after="120"/>
        <w:ind w:firstLine="708"/>
        <w:jc w:val="both"/>
        <w:rPr>
          <w:b/>
        </w:rPr>
      </w:pPr>
      <w:r>
        <w:rPr>
          <w:b/>
        </w:rPr>
        <w:t>Przedmiotem 17. zjazdu aplikacji prokuratorskiej, który odbędzie się w dniach od 10 do 14 lipca  2023 roku będą  następujące zagadnienia:</w:t>
      </w:r>
    </w:p>
    <w:p w:rsidR="00083D39" w:rsidRDefault="00083D39" w:rsidP="00083D39">
      <w:pPr>
        <w:spacing w:after="120"/>
        <w:ind w:firstLine="708"/>
        <w:jc w:val="both"/>
      </w:pPr>
      <w:r>
        <w:t>- prawo karne materialne (przestępstwa przeciwko środowisku, przestępstwa przeciwko wolności, wolności sumienia i wyznania, wolności seksualnej i obyczajowości),</w:t>
      </w:r>
    </w:p>
    <w:p w:rsidR="00083D39" w:rsidRDefault="00083D39" w:rsidP="00083D39">
      <w:pPr>
        <w:spacing w:after="120"/>
        <w:ind w:firstLine="708"/>
        <w:jc w:val="both"/>
      </w:pPr>
      <w:r>
        <w:t xml:space="preserve">- prawo karne procesowe (nadzwyczajne środki zaskarżenia, podstawy i granice kasacji, szczególne uprawnienia Prokuratora Generalnego, skarga na wyrok sądu odwoławczego, podstawy wznowienia postępowania, charakter, przedmiot i tryb wznowienia, skarga nadzwyczajna, podjęcia postępowania umorzonego warunkowo – przesłanki i tryb; odszkodowanie i zadośćuczynienie za niewątpliwie niesłuszne skazanie, tymczasowe aresztowanie i zatrzymanie; przesłanki oraz tryb ułaskawienia; faktyczne i prawne konsekwencje przewlekłości postępowania karnego, skarga na naruszenie prawa strony do rozpoznania sprawy w postępowaniu przygotowawczym prowadzonym lub nadzorowanym przez prokuratora i postępowaniu sądowym bez nieuzasadnionej zwłoki), </w:t>
      </w:r>
    </w:p>
    <w:p w:rsidR="00083D39" w:rsidRDefault="00083D39" w:rsidP="00083D39">
      <w:pPr>
        <w:spacing w:after="120"/>
        <w:ind w:firstLine="708"/>
        <w:jc w:val="both"/>
      </w:pPr>
      <w:r>
        <w:t>- prawo karne wykonawcze (rola prokuratora w postępowaniu wykonawczym, odroczenie wykonania i przerwa w wykonaniu kary pozbawienia wolności; warunkowe przedterminowe zwolnienie).</w:t>
      </w:r>
    </w:p>
    <w:p w:rsidR="00083D39" w:rsidRDefault="00083D39" w:rsidP="00083D39"/>
    <w:p w:rsidR="00310D97" w:rsidRPr="00C568A4" w:rsidRDefault="00310D97" w:rsidP="00083D39">
      <w:pPr>
        <w:pStyle w:val="Akapitzlist"/>
      </w:pPr>
    </w:p>
    <w:sectPr w:rsidR="00310D97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DA3" w:rsidRDefault="00825DA3">
      <w:pPr>
        <w:spacing w:after="0" w:line="240" w:lineRule="auto"/>
      </w:pPr>
      <w:r>
        <w:separator/>
      </w:r>
    </w:p>
  </w:endnote>
  <w:endnote w:type="continuationSeparator" w:id="0">
    <w:p w:rsidR="00825DA3" w:rsidRDefault="0082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568A4">
      <w:rPr>
        <w:noProof/>
      </w:rPr>
      <w:t>3</w:t>
    </w:r>
    <w:r>
      <w:rPr>
        <w:noProof/>
      </w:rPr>
      <w:fldChar w:fldCharType="end"/>
    </w:r>
  </w:p>
  <w:p w:rsidR="001B510F" w:rsidRDefault="00825D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825DA3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825DA3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DA3" w:rsidRDefault="00825DA3">
      <w:pPr>
        <w:spacing w:after="0" w:line="240" w:lineRule="auto"/>
      </w:pPr>
      <w:r>
        <w:separator/>
      </w:r>
    </w:p>
  </w:footnote>
  <w:footnote w:type="continuationSeparator" w:id="0">
    <w:p w:rsidR="00825DA3" w:rsidRDefault="0082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825DA3" w:rsidP="003D147B">
    <w:pPr>
      <w:pStyle w:val="Nagwek"/>
      <w:ind w:right="4959"/>
      <w:jc w:val="center"/>
      <w:rPr>
        <w:b/>
      </w:rPr>
    </w:pPr>
  </w:p>
  <w:p w:rsidR="001B510F" w:rsidRPr="009E7ADE" w:rsidRDefault="00825DA3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825DA3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3F7B"/>
    <w:multiLevelType w:val="hybridMultilevel"/>
    <w:tmpl w:val="15441F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5349F"/>
    <w:multiLevelType w:val="hybridMultilevel"/>
    <w:tmpl w:val="F3DAA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641D1"/>
    <w:rsid w:val="00083D39"/>
    <w:rsid w:val="000B4076"/>
    <w:rsid w:val="001B43C4"/>
    <w:rsid w:val="00310D97"/>
    <w:rsid w:val="00313D8C"/>
    <w:rsid w:val="00344B32"/>
    <w:rsid w:val="003B4BBB"/>
    <w:rsid w:val="00435CDB"/>
    <w:rsid w:val="00482F4C"/>
    <w:rsid w:val="005C1373"/>
    <w:rsid w:val="005D4337"/>
    <w:rsid w:val="006241BE"/>
    <w:rsid w:val="00825DA3"/>
    <w:rsid w:val="009508D5"/>
    <w:rsid w:val="00957755"/>
    <w:rsid w:val="009D261E"/>
    <w:rsid w:val="00A860EB"/>
    <w:rsid w:val="00BC1096"/>
    <w:rsid w:val="00C32F7B"/>
    <w:rsid w:val="00C568A4"/>
    <w:rsid w:val="00E512BB"/>
    <w:rsid w:val="00ED39E2"/>
    <w:rsid w:val="00F866FC"/>
    <w:rsid w:val="00F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BCC8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styleId="Akapitzlist">
    <w:name w:val="List Paragraph"/>
    <w:basedOn w:val="Normalny"/>
    <w:uiPriority w:val="34"/>
    <w:qFormat/>
    <w:rsid w:val="00FA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Agnieszka Kluczewska</cp:lastModifiedBy>
  <cp:revision>4</cp:revision>
  <cp:lastPrinted>2023-03-27T09:51:00Z</cp:lastPrinted>
  <dcterms:created xsi:type="dcterms:W3CDTF">2023-05-09T11:12:00Z</dcterms:created>
  <dcterms:modified xsi:type="dcterms:W3CDTF">2023-05-09T11:14:00Z</dcterms:modified>
</cp:coreProperties>
</file>