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7B8A" w14:textId="0BFB8A98" w:rsidR="00F47061" w:rsidRPr="008C1429" w:rsidRDefault="007471E0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OAP-II.420.3.8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7F5E65">
        <w:rPr>
          <w:rFonts w:ascii="Times New Roman" w:hAnsi="Times New Roman" w:cs="Times New Roman"/>
          <w:sz w:val="24"/>
          <w:szCs w:val="24"/>
        </w:rPr>
        <w:t xml:space="preserve">      </w:t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20598C">
        <w:rPr>
          <w:rFonts w:ascii="Times New Roman" w:hAnsi="Times New Roman" w:cs="Times New Roman"/>
          <w:sz w:val="24"/>
          <w:szCs w:val="24"/>
        </w:rPr>
        <w:t>21</w:t>
      </w:r>
      <w:r w:rsidR="008C1429">
        <w:rPr>
          <w:rFonts w:ascii="Times New Roman" w:hAnsi="Times New Roman" w:cs="Times New Roman"/>
          <w:sz w:val="24"/>
          <w:szCs w:val="24"/>
        </w:rPr>
        <w:t xml:space="preserve"> października 2025</w:t>
      </w:r>
      <w:r w:rsidR="007F5E65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55AB4AEE" w14:textId="77777777" w:rsidR="007F5E65" w:rsidRDefault="007F5E65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E1A3851" w14:textId="01B69CD5" w:rsidR="009C39F4" w:rsidRPr="00E25630" w:rsidRDefault="007E5AD4" w:rsidP="00944825">
      <w:pPr>
        <w:spacing w:after="12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</w:p>
    <w:p w14:paraId="7EEF7DCC" w14:textId="512E8BD0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Patroni Koordynator</w:t>
      </w:r>
      <w:r w:rsidR="007F5E65">
        <w:rPr>
          <w:rFonts w:ascii="Times New Roman" w:hAnsi="Times New Roman" w:cs="Times New Roman"/>
          <w:b/>
          <w:sz w:val="24"/>
          <w:szCs w:val="24"/>
        </w:rPr>
        <w:t>zy</w:t>
      </w:r>
    </w:p>
    <w:p w14:paraId="44B9FD69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 xml:space="preserve">oraz Patroni </w:t>
      </w:r>
      <w:r w:rsidR="007471E0">
        <w:rPr>
          <w:rFonts w:ascii="Times New Roman" w:hAnsi="Times New Roman" w:cs="Times New Roman"/>
          <w:b/>
          <w:sz w:val="24"/>
          <w:szCs w:val="24"/>
        </w:rPr>
        <w:t xml:space="preserve">praktyk </w:t>
      </w:r>
    </w:p>
    <w:p w14:paraId="2E3B7A31" w14:textId="77777777" w:rsidR="009C39F4" w:rsidRPr="00E25630" w:rsidRDefault="009C39F4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E25630">
        <w:rPr>
          <w:rFonts w:ascii="Times New Roman" w:hAnsi="Times New Roman" w:cs="Times New Roman"/>
          <w:b/>
          <w:sz w:val="24"/>
          <w:szCs w:val="24"/>
        </w:rPr>
        <w:t>aplikantów aplikacji prokuratorskiej</w:t>
      </w:r>
    </w:p>
    <w:p w14:paraId="3ACB637F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E4182B8" w14:textId="77777777" w:rsidR="007F5E65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ów aplikacji prokuratorskiej </w:t>
      </w:r>
    </w:p>
    <w:p w14:paraId="27B4D3BC" w14:textId="2766651B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1E0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5F2B898B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44886D2" w14:textId="65CCBB89" w:rsidR="00C57C0D" w:rsidRDefault="009C39F4" w:rsidP="007F5E6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7F5E65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</w:t>
      </w:r>
      <w:r w:rsidR="007F5E65">
        <w:rPr>
          <w:rFonts w:ascii="Times New Roman" w:hAnsi="Times New Roman" w:cs="Times New Roman"/>
          <w:sz w:val="24"/>
          <w:szCs w:val="24"/>
        </w:rPr>
        <w:t>,</w:t>
      </w:r>
      <w:r w:rsidRPr="00E25630">
        <w:rPr>
          <w:rFonts w:ascii="Times New Roman" w:hAnsi="Times New Roman" w:cs="Times New Roman"/>
          <w:sz w:val="24"/>
          <w:szCs w:val="24"/>
        </w:rPr>
        <w:t xml:space="preserve">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0D68DA4B" w14:textId="0858FBEC" w:rsidR="007471E0" w:rsidRPr="007471E0" w:rsidRDefault="007F5E65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471E0" w:rsidRPr="007471E0">
        <w:rPr>
          <w:rFonts w:ascii="Times New Roman" w:hAnsi="Times New Roman" w:cs="Times New Roman"/>
          <w:b/>
          <w:sz w:val="24"/>
          <w:szCs w:val="24"/>
        </w:rPr>
        <w:t>16-27 marca 2026 roku w sądach rejonowych – wydział karny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0A8B24F9" w14:textId="24EF388B" w:rsidR="007471E0" w:rsidRPr="007471E0" w:rsidRDefault="007F5E65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471E0">
        <w:rPr>
          <w:rFonts w:ascii="Times New Roman" w:hAnsi="Times New Roman" w:cs="Times New Roman"/>
          <w:b/>
          <w:sz w:val="24"/>
          <w:szCs w:val="24"/>
        </w:rPr>
        <w:t>30 marca-</w:t>
      </w:r>
      <w:r w:rsidR="007471E0" w:rsidRPr="007471E0">
        <w:rPr>
          <w:rFonts w:ascii="Times New Roman" w:hAnsi="Times New Roman" w:cs="Times New Roman"/>
          <w:b/>
          <w:sz w:val="24"/>
          <w:szCs w:val="24"/>
        </w:rPr>
        <w:t>10 kwietnia 2026 roku w prokuraturach rejonowych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71E0" w:rsidRPr="00747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162100" w14:textId="77777777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FC2">
        <w:rPr>
          <w:rFonts w:ascii="Times New Roman" w:hAnsi="Times New Roman" w:cs="Times New Roman"/>
          <w:sz w:val="24"/>
          <w:szCs w:val="24"/>
        </w:rPr>
        <w:t>Celem niniejszej praktyki jest zapoznanie aplikantów z zasadami sądowej kontroli rozstrzygnięć prokuratora kończących postępowanie przygotowawcze oraz utrwalenie umiejętności przygotowywania wystąpienia prokuratora na posiedzeniu sądu w przedmiocie zażalenia na postanowienie prokuratora kończące postępowanie przygotowawcze, a nadto przygotowania wystąpienia prokuratora na posiedzeniu sądu w przedmiocie rozpoznania zażalenia na postanowienie prokuratora kończące postępowanie przygotowawcze</w:t>
      </w:r>
    </w:p>
    <w:p w14:paraId="46FCCDD9" w14:textId="25568599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C2">
        <w:rPr>
          <w:rFonts w:ascii="Times New Roman" w:hAnsi="Times New Roman" w:cs="Times New Roman"/>
          <w:b/>
          <w:sz w:val="24"/>
          <w:szCs w:val="24"/>
          <w:u w:val="single"/>
        </w:rPr>
        <w:t>Patroni praktyk w wydziałach karnych sądów rejonowych winni zadbać, aby</w:t>
      </w:r>
      <w:r w:rsidR="007F5E65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020FC2">
        <w:rPr>
          <w:rFonts w:ascii="Times New Roman" w:hAnsi="Times New Roman" w:cs="Times New Roman"/>
          <w:b/>
          <w:sz w:val="24"/>
          <w:szCs w:val="24"/>
          <w:u w:val="single"/>
        </w:rPr>
        <w:t>aplikanci:</w:t>
      </w:r>
    </w:p>
    <w:p w14:paraId="6B71D74B" w14:textId="034FFF19" w:rsidR="007471E0" w:rsidRPr="00020FC2" w:rsidRDefault="007471E0" w:rsidP="007471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brali </w:t>
      </w:r>
      <w:r w:rsidRPr="00020FC2">
        <w:rPr>
          <w:rFonts w:ascii="Times New Roman" w:hAnsi="Times New Roman" w:cs="Times New Roman"/>
          <w:sz w:val="24"/>
          <w:szCs w:val="24"/>
        </w:rPr>
        <w:t>udział w posiedzeniach związanych z rozpatrywaniem zażaleń na postanowienia kończące postępowanie przygotowawcze</w:t>
      </w:r>
      <w:r w:rsidR="007F5E65">
        <w:rPr>
          <w:rFonts w:ascii="Times New Roman" w:hAnsi="Times New Roman" w:cs="Times New Roman"/>
          <w:sz w:val="24"/>
          <w:szCs w:val="24"/>
        </w:rPr>
        <w:t>,</w:t>
      </w:r>
      <w:r w:rsidRPr="00020FC2">
        <w:rPr>
          <w:rFonts w:ascii="Times New Roman" w:hAnsi="Times New Roman" w:cs="Times New Roman"/>
          <w:sz w:val="24"/>
          <w:szCs w:val="24"/>
        </w:rPr>
        <w:t xml:space="preserve"> w różnych kategoriach spraw,</w:t>
      </w:r>
    </w:p>
    <w:p w14:paraId="095D53CE" w14:textId="2EFA249F" w:rsidR="007471E0" w:rsidRPr="00020FC2" w:rsidRDefault="007471E0" w:rsidP="007471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dokonywali</w:t>
      </w:r>
      <w:r w:rsidRPr="00020FC2">
        <w:rPr>
          <w:rFonts w:ascii="Times New Roman" w:hAnsi="Times New Roman" w:cs="Times New Roman"/>
          <w:sz w:val="24"/>
          <w:szCs w:val="24"/>
        </w:rPr>
        <w:t xml:space="preserve"> analizy spraw pod kątem zasadności zażaleń na postanowienia kończące postępowanie przygotowawcze</w:t>
      </w:r>
      <w:r w:rsidR="007F5E65">
        <w:rPr>
          <w:rFonts w:ascii="Times New Roman" w:hAnsi="Times New Roman" w:cs="Times New Roman"/>
          <w:sz w:val="24"/>
          <w:szCs w:val="24"/>
        </w:rPr>
        <w:t>,</w:t>
      </w:r>
      <w:r w:rsidRPr="00020FC2">
        <w:rPr>
          <w:rFonts w:ascii="Times New Roman" w:hAnsi="Times New Roman" w:cs="Times New Roman"/>
          <w:sz w:val="24"/>
          <w:szCs w:val="24"/>
        </w:rPr>
        <w:t xml:space="preserve"> w różnych kategoriach spraw,</w:t>
      </w:r>
    </w:p>
    <w:p w14:paraId="5C64CD8A" w14:textId="5014482D" w:rsidR="007471E0" w:rsidRDefault="007471E0" w:rsidP="007471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20FC2">
        <w:rPr>
          <w:rFonts w:ascii="Times New Roman" w:hAnsi="Times New Roman" w:cs="Times New Roman"/>
          <w:sz w:val="24"/>
          <w:szCs w:val="24"/>
        </w:rPr>
        <w:t xml:space="preserve">- sporządzili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Pr="00020FC2">
        <w:rPr>
          <w:rFonts w:ascii="Times New Roman" w:hAnsi="Times New Roman" w:cs="Times New Roman"/>
          <w:sz w:val="24"/>
          <w:szCs w:val="24"/>
        </w:rPr>
        <w:t xml:space="preserve"> orzeczeń sądu zapadających w związku z rozpoznaniem zażaleń na</w:t>
      </w:r>
      <w:r w:rsidR="007F5E65">
        <w:rPr>
          <w:rFonts w:ascii="Times New Roman" w:hAnsi="Times New Roman" w:cs="Times New Roman"/>
          <w:sz w:val="24"/>
          <w:szCs w:val="24"/>
        </w:rPr>
        <w:t> </w:t>
      </w:r>
      <w:r w:rsidRPr="00020FC2">
        <w:rPr>
          <w:rFonts w:ascii="Times New Roman" w:hAnsi="Times New Roman" w:cs="Times New Roman"/>
          <w:sz w:val="24"/>
          <w:szCs w:val="24"/>
        </w:rPr>
        <w:t>postanowienia kończące postępowanie przygotowawcze.</w:t>
      </w:r>
    </w:p>
    <w:p w14:paraId="222E20D2" w14:textId="77777777" w:rsidR="007471E0" w:rsidRPr="00020FC2" w:rsidRDefault="007471E0" w:rsidP="007471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EADCB2A" w14:textId="77777777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7F0E9" w14:textId="77777777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FC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Patroni praktyk w prokuraturach rejonowych winni zadbać, aby aplikanci:</w:t>
      </w:r>
    </w:p>
    <w:p w14:paraId="64C1EEA3" w14:textId="77777777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dokonywali </w:t>
      </w:r>
      <w:r w:rsidRPr="00020FC2">
        <w:rPr>
          <w:rFonts w:ascii="Times New Roman" w:hAnsi="Times New Roman" w:cs="Times New Roman"/>
          <w:sz w:val="24"/>
          <w:szCs w:val="24"/>
        </w:rPr>
        <w:t>analizy spraw pod kątem oceny zasadności złożonego środka odwoławczego od postanowienia kończącego postępowanie przygotowawcze w tym badania warunków formalnych wniesionego środka odwoławczego oraz opracowywania stosownych pism procesowych,</w:t>
      </w:r>
    </w:p>
    <w:p w14:paraId="7EECD4CD" w14:textId="6D46870B" w:rsidR="007471E0" w:rsidRPr="00020FC2" w:rsidRDefault="00EA0942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sporządzali projekty</w:t>
      </w:r>
      <w:r w:rsidR="007471E0" w:rsidRPr="00020FC2">
        <w:rPr>
          <w:rFonts w:ascii="Times New Roman" w:hAnsi="Times New Roman" w:cs="Times New Roman"/>
          <w:sz w:val="24"/>
          <w:szCs w:val="24"/>
        </w:rPr>
        <w:t xml:space="preserve"> stanowisk prokuratora w przedmiocie zasadności zażalenia na</w:t>
      </w:r>
      <w:r w:rsidR="007F5E65">
        <w:rPr>
          <w:rFonts w:ascii="Times New Roman" w:hAnsi="Times New Roman" w:cs="Times New Roman"/>
          <w:sz w:val="24"/>
          <w:szCs w:val="24"/>
        </w:rPr>
        <w:t> </w:t>
      </w:r>
      <w:r w:rsidR="007471E0" w:rsidRPr="00020FC2">
        <w:rPr>
          <w:rFonts w:ascii="Times New Roman" w:hAnsi="Times New Roman" w:cs="Times New Roman"/>
          <w:sz w:val="24"/>
          <w:szCs w:val="24"/>
        </w:rPr>
        <w:t xml:space="preserve">postanowienie kończące postępowanie przygotowawcze </w:t>
      </w:r>
      <w:r>
        <w:rPr>
          <w:rFonts w:ascii="Times New Roman" w:hAnsi="Times New Roman" w:cs="Times New Roman"/>
          <w:sz w:val="24"/>
          <w:szCs w:val="24"/>
        </w:rPr>
        <w:t>w tym projekt</w:t>
      </w:r>
      <w:r w:rsidR="007471E0">
        <w:rPr>
          <w:rFonts w:ascii="Times New Roman" w:hAnsi="Times New Roman" w:cs="Times New Roman"/>
          <w:sz w:val="24"/>
          <w:szCs w:val="24"/>
        </w:rPr>
        <w:t xml:space="preserve"> postanowienia</w:t>
      </w:r>
      <w:r>
        <w:rPr>
          <w:rFonts w:ascii="Times New Roman" w:hAnsi="Times New Roman" w:cs="Times New Roman"/>
          <w:sz w:val="24"/>
          <w:szCs w:val="24"/>
        </w:rPr>
        <w:br/>
      </w:r>
      <w:r w:rsidR="007471E0" w:rsidRPr="00020FC2">
        <w:rPr>
          <w:rFonts w:ascii="Times New Roman" w:hAnsi="Times New Roman" w:cs="Times New Roman"/>
          <w:sz w:val="24"/>
          <w:szCs w:val="24"/>
        </w:rPr>
        <w:t xml:space="preserve"> o uwzględnieniu zażalenia wraz z uzasadnieniem,</w:t>
      </w:r>
    </w:p>
    <w:p w14:paraId="5EACCAC3" w14:textId="313B78B0" w:rsidR="007471E0" w:rsidRPr="00020FC2" w:rsidRDefault="00EA0942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brali </w:t>
      </w:r>
      <w:r w:rsidR="007471E0">
        <w:rPr>
          <w:rFonts w:ascii="Times New Roman" w:hAnsi="Times New Roman" w:cs="Times New Roman"/>
          <w:sz w:val="24"/>
          <w:szCs w:val="24"/>
        </w:rPr>
        <w:t>udział w</w:t>
      </w:r>
      <w:r w:rsidR="007471E0" w:rsidRPr="00020FC2">
        <w:rPr>
          <w:rFonts w:ascii="Times New Roman" w:hAnsi="Times New Roman" w:cs="Times New Roman"/>
          <w:sz w:val="24"/>
          <w:szCs w:val="24"/>
        </w:rPr>
        <w:t xml:space="preserve"> posiedzeniach sądu w przedmiocie rozpoznania zażalenia na</w:t>
      </w:r>
      <w:r w:rsidR="007F5E65">
        <w:rPr>
          <w:rFonts w:ascii="Times New Roman" w:hAnsi="Times New Roman" w:cs="Times New Roman"/>
          <w:sz w:val="24"/>
          <w:szCs w:val="24"/>
        </w:rPr>
        <w:t> </w:t>
      </w:r>
      <w:r w:rsidR="007471E0" w:rsidRPr="00020FC2">
        <w:rPr>
          <w:rFonts w:ascii="Times New Roman" w:hAnsi="Times New Roman" w:cs="Times New Roman"/>
          <w:sz w:val="24"/>
          <w:szCs w:val="24"/>
        </w:rPr>
        <w:t>postanowienie prokuratora kończące postępowanie przygotowawcze,</w:t>
      </w:r>
    </w:p>
    <w:p w14:paraId="25EB7248" w14:textId="77777777" w:rsidR="007471E0" w:rsidRPr="00020FC2" w:rsidRDefault="00EA0942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sporządzali </w:t>
      </w:r>
      <w:r w:rsidR="007471E0">
        <w:rPr>
          <w:rFonts w:ascii="Times New Roman" w:hAnsi="Times New Roman" w:cs="Times New Roman"/>
          <w:sz w:val="24"/>
          <w:szCs w:val="24"/>
        </w:rPr>
        <w:t xml:space="preserve">projekty postanowień </w:t>
      </w:r>
      <w:r w:rsidR="007471E0" w:rsidRPr="00020FC2">
        <w:rPr>
          <w:rFonts w:ascii="Times New Roman" w:hAnsi="Times New Roman" w:cs="Times New Roman"/>
          <w:sz w:val="24"/>
          <w:szCs w:val="24"/>
        </w:rPr>
        <w:t>o zasięgnięciu opinii biegłego/biegłych z zakresu toksykologii, alkohologii i hematologii,</w:t>
      </w:r>
    </w:p>
    <w:p w14:paraId="548C0D05" w14:textId="77777777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FC2">
        <w:rPr>
          <w:rFonts w:ascii="Times New Roman" w:hAnsi="Times New Roman" w:cs="Times New Roman"/>
          <w:sz w:val="24"/>
          <w:szCs w:val="24"/>
        </w:rPr>
        <w:t xml:space="preserve">- zapoznali się, o ile to możliwe,  z aktami co najmniej 2 spraw, w których w materiale dowodowym występują materiały niejawne oraz sporządzili projekt postanowienia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20FC2">
        <w:rPr>
          <w:rFonts w:ascii="Times New Roman" w:hAnsi="Times New Roman" w:cs="Times New Roman"/>
          <w:sz w:val="24"/>
          <w:szCs w:val="24"/>
        </w:rPr>
        <w:t>o zachowaniu w tajemnicy okoliczności umożliwiających ujawnienie tożsamości świadka (pokrzywdzonego).</w:t>
      </w:r>
    </w:p>
    <w:p w14:paraId="1BDC62FE" w14:textId="77777777" w:rsidR="007471E0" w:rsidRPr="00020FC2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FC2">
        <w:rPr>
          <w:rFonts w:ascii="Times New Roman" w:hAnsi="Times New Roman" w:cs="Times New Roman"/>
          <w:b/>
          <w:sz w:val="24"/>
          <w:szCs w:val="24"/>
        </w:rPr>
        <w:t>Praktyka powinna przygotować do sprawdzianu.</w:t>
      </w:r>
    </w:p>
    <w:p w14:paraId="70CE6C82" w14:textId="6299ABEB" w:rsidR="007471E0" w:rsidRPr="007471E0" w:rsidRDefault="007471E0" w:rsidP="007471E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FC2">
        <w:rPr>
          <w:rFonts w:ascii="Times New Roman" w:hAnsi="Times New Roman" w:cs="Times New Roman"/>
          <w:sz w:val="24"/>
          <w:szCs w:val="24"/>
        </w:rPr>
        <w:t xml:space="preserve">Przedmiotem sprawdzianu, który aplikanci będą pisać po odbyciu praktyk po 12 zjeździe, tj. w dniu </w:t>
      </w:r>
      <w:r>
        <w:rPr>
          <w:rFonts w:ascii="Times New Roman" w:hAnsi="Times New Roman" w:cs="Times New Roman"/>
          <w:sz w:val="24"/>
          <w:szCs w:val="24"/>
        </w:rPr>
        <w:t>13 kwietnia 2026 roku</w:t>
      </w:r>
      <w:r w:rsidRPr="00020FC2">
        <w:rPr>
          <w:rFonts w:ascii="Times New Roman" w:hAnsi="Times New Roman" w:cs="Times New Roman"/>
          <w:sz w:val="24"/>
          <w:szCs w:val="24"/>
        </w:rPr>
        <w:t xml:space="preserve"> będzie opracowanie stanowiska w zakresie zasadności zażalenia na postanowienie kończące postępowanie przygotowawcze lub projektu postanow</w:t>
      </w:r>
      <w:r>
        <w:rPr>
          <w:rFonts w:ascii="Times New Roman" w:hAnsi="Times New Roman" w:cs="Times New Roman"/>
          <w:sz w:val="24"/>
          <w:szCs w:val="24"/>
        </w:rPr>
        <w:t xml:space="preserve">ienia o uwzględnieniu zażalenia wraz z uzasadnieniem, </w:t>
      </w:r>
      <w:r w:rsidRPr="007471E0">
        <w:rPr>
          <w:rFonts w:ascii="Times New Roman" w:hAnsi="Times New Roman" w:cs="Times New Roman"/>
          <w:b/>
          <w:sz w:val="24"/>
          <w:szCs w:val="24"/>
        </w:rPr>
        <w:t>dl</w:t>
      </w:r>
      <w:r w:rsidRPr="00020FC2">
        <w:rPr>
          <w:rFonts w:ascii="Times New Roman" w:hAnsi="Times New Roman" w:cs="Times New Roman"/>
          <w:b/>
          <w:sz w:val="24"/>
          <w:szCs w:val="24"/>
        </w:rPr>
        <w:t>atego ważnym jest, aby</w:t>
      </w:r>
      <w:r w:rsidR="007F5E65">
        <w:rPr>
          <w:rFonts w:ascii="Times New Roman" w:hAnsi="Times New Roman" w:cs="Times New Roman"/>
          <w:b/>
          <w:sz w:val="24"/>
          <w:szCs w:val="24"/>
        </w:rPr>
        <w:t> </w:t>
      </w:r>
      <w:r w:rsidRPr="00020FC2">
        <w:rPr>
          <w:rFonts w:ascii="Times New Roman" w:hAnsi="Times New Roman" w:cs="Times New Roman"/>
          <w:b/>
          <w:sz w:val="24"/>
          <w:szCs w:val="24"/>
        </w:rPr>
        <w:t>aplikanci podczas praktyk opanowali tę umiejętnoś</w:t>
      </w:r>
      <w:r>
        <w:rPr>
          <w:rFonts w:ascii="Times New Roman" w:hAnsi="Times New Roman" w:cs="Times New Roman"/>
          <w:b/>
          <w:sz w:val="24"/>
          <w:szCs w:val="24"/>
        </w:rPr>
        <w:t xml:space="preserve">ć w jak najwyższym stopniu. </w:t>
      </w:r>
    </w:p>
    <w:p w14:paraId="3A25A6F2" w14:textId="77777777" w:rsidR="000379E7" w:rsidRPr="0020598C" w:rsidRDefault="000379E7" w:rsidP="0020598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51826529" w14:textId="77777777" w:rsidR="0020598C" w:rsidRPr="0020598C" w:rsidRDefault="0020598C" w:rsidP="0020598C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126FA82B" w14:textId="77777777" w:rsidR="0047214A" w:rsidRPr="00892D9D" w:rsidRDefault="0047214A" w:rsidP="007F5E65">
      <w:pPr>
        <w:pStyle w:val="Akapitzlist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60933E07" w14:textId="77777777" w:rsidR="0047214A" w:rsidRPr="00892D9D" w:rsidRDefault="0047214A" w:rsidP="007F5E65">
      <w:pPr>
        <w:pStyle w:val="Akapitzlist"/>
        <w:spacing w:before="120"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0BBF8C88" w14:textId="77777777" w:rsidR="00892D9D" w:rsidRPr="00892D9D" w:rsidRDefault="0047214A" w:rsidP="007F5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4E7EE5CB" w14:textId="77777777" w:rsidR="0047214A" w:rsidRPr="00892D9D" w:rsidRDefault="0047214A" w:rsidP="007F5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754272E9" w14:textId="77777777" w:rsidR="00494DC4" w:rsidRDefault="008C1429" w:rsidP="00544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113F5081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002214" w14:textId="77777777" w:rsidR="00BD309E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84277" w14:textId="77777777" w:rsidR="0020598C" w:rsidRDefault="0020598C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AA9F7" w14:textId="77777777" w:rsidR="000379E7" w:rsidRPr="00892D9D" w:rsidRDefault="000379E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E21DD7" w14:textId="77777777" w:rsidR="007F5E65" w:rsidRDefault="007F5E65" w:rsidP="009779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A767A9" w14:textId="419F8BCF" w:rsidR="0097797E" w:rsidRPr="00663719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do zaleceń</w:t>
      </w:r>
      <w:r w:rsidR="00205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11 </w:t>
      </w:r>
      <w:r w:rsidRPr="00663719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66371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B408CD8" w14:textId="77777777" w:rsidR="00663719" w:rsidRDefault="007471E0" w:rsidP="0066371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12 zjazdu aplikacji </w:t>
      </w:r>
      <w:r w:rsidR="00663719" w:rsidRPr="00663719">
        <w:rPr>
          <w:rFonts w:ascii="Times New Roman" w:hAnsi="Times New Roman" w:cs="Times New Roman"/>
          <w:sz w:val="24"/>
          <w:szCs w:val="24"/>
        </w:rPr>
        <w:t xml:space="preserve">prokuratorskiej, który odbędzie się w dniach </w:t>
      </w:r>
      <w:r w:rsidR="009B0456">
        <w:rPr>
          <w:rFonts w:ascii="Times New Roman" w:hAnsi="Times New Roman" w:cs="Times New Roman"/>
          <w:sz w:val="24"/>
          <w:szCs w:val="24"/>
        </w:rPr>
        <w:t>9-13 marca</w:t>
      </w:r>
      <w:r w:rsidR="00663719" w:rsidRPr="00663719">
        <w:rPr>
          <w:rFonts w:ascii="Times New Roman" w:hAnsi="Times New Roman" w:cs="Times New Roman"/>
          <w:sz w:val="24"/>
          <w:szCs w:val="24"/>
        </w:rPr>
        <w:t xml:space="preserve"> 2026 r. będzie:</w:t>
      </w:r>
    </w:p>
    <w:p w14:paraId="36681B21" w14:textId="77777777" w:rsidR="009B0456" w:rsidRPr="00020FC2" w:rsidRDefault="009B0456" w:rsidP="009B0456">
      <w:pPr>
        <w:keepNext/>
        <w:keepLines/>
        <w:spacing w:before="360" w:after="360" w:line="360" w:lineRule="auto"/>
        <w:ind w:firstLine="708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I.</w:t>
      </w:r>
      <w:r w:rsidRPr="00020FC2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. Medycyna sądowa- aspekt medyczny</w:t>
      </w:r>
    </w:p>
    <w:p w14:paraId="52E5809A" w14:textId="77777777" w:rsidR="009B0456" w:rsidRPr="00020FC2" w:rsidRDefault="009B0456" w:rsidP="009B0456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20FC2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1/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>Toksykologia i alkohologia sądowo-lekarska. Ustalanie stanu nietrzeźwości. Środki   odurzające oraz tzw. dopalacze.</w:t>
      </w:r>
    </w:p>
    <w:p w14:paraId="498375F4" w14:textId="77777777" w:rsidR="009B0456" w:rsidRPr="00020FC2" w:rsidRDefault="009B0456" w:rsidP="009B0456">
      <w:pPr>
        <w:spacing w:after="12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2/Badanie śladów krwi i innych śladów biologicznych. </w:t>
      </w:r>
      <w:proofErr w:type="spellStart"/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>Hemogenetyka</w:t>
      </w:r>
      <w:proofErr w:type="spellEnd"/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biomechanika śladów krwawych. Ujawnianie śladów niewidocznych.</w:t>
      </w:r>
    </w:p>
    <w:p w14:paraId="5350DB98" w14:textId="77777777" w:rsidR="009B0456" w:rsidRPr="00020FC2" w:rsidRDefault="009B0456" w:rsidP="009B0456">
      <w:pPr>
        <w:keepNext/>
        <w:keepLines/>
        <w:spacing w:before="360" w:after="360" w:line="36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 w:rsidRPr="007F5E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7F5E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020FC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II.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020FC2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Prawo karne procesowe</w:t>
      </w:r>
    </w:p>
    <w:p w14:paraId="60053AC5" w14:textId="77777777" w:rsidR="009B0456" w:rsidRPr="00020FC2" w:rsidRDefault="009B0456" w:rsidP="009B0456">
      <w:pPr>
        <w:keepNext/>
        <w:keepLines/>
        <w:spacing w:before="360" w:after="360" w:line="36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 w:rsidRPr="00020FC2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1/</w:t>
      </w:r>
      <w:r w:rsidRPr="007F5E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Kartoteki i zewnętrzne bazy danych </w:t>
      </w:r>
    </w:p>
    <w:p w14:paraId="43AC8EA1" w14:textId="77777777" w:rsidR="009B0456" w:rsidRPr="00020FC2" w:rsidRDefault="009B0456" w:rsidP="009B0456">
      <w:pPr>
        <w:keepNext/>
        <w:keepLines/>
        <w:spacing w:before="360" w:after="360" w:line="360" w:lineRule="auto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 w:rsidRPr="00020FC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2/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>Ocenianie przez prokuratora zasadności środka odwoławczego od postanowienia kończącego postępowanie przygotowawcze.</w:t>
      </w:r>
    </w:p>
    <w:p w14:paraId="4DE88204" w14:textId="77777777" w:rsidR="009B0456" w:rsidRPr="00020FC2" w:rsidRDefault="009B0456" w:rsidP="009B045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20FC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3/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Sądowa kontrola decyzji prokuratora kończących postępowanie przygotowawcze (inne czynności sądowe w postępowaniu przygotowawczym podlegają omówieniu 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ramach zajęć z przebiegu postępowania przygotowawczego).</w:t>
      </w:r>
    </w:p>
    <w:p w14:paraId="6BD0B0E3" w14:textId="77777777" w:rsidR="009B0456" w:rsidRPr="00020FC2" w:rsidRDefault="009B0456" w:rsidP="009B045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01EE1B6" w14:textId="77777777" w:rsidR="009B0456" w:rsidRPr="00020FC2" w:rsidRDefault="009B0456" w:rsidP="009B045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F5E6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4/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Ochrona i wykorzystanie w postępowaniu informacji niejawnych (świadek anonimowy i świadek koronny; czynności </w:t>
      </w:r>
      <w:proofErr w:type="spellStart"/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>operacyjno</w:t>
      </w:r>
      <w:proofErr w:type="spellEnd"/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– rozpoznawcze) w świetle praktyki orzeczniczej krajowej i międzynarodowej.</w:t>
      </w:r>
    </w:p>
    <w:p w14:paraId="7BC5D6A9" w14:textId="77777777" w:rsidR="009B0456" w:rsidRPr="00020FC2" w:rsidRDefault="009B0456" w:rsidP="009B045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FC8FF89" w14:textId="77777777" w:rsidR="009B0456" w:rsidRPr="00020FC2" w:rsidRDefault="009B0456" w:rsidP="009B0456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020FC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5/ </w:t>
      </w:r>
      <w:r w:rsidRPr="00020FC2">
        <w:rPr>
          <w:rFonts w:ascii="Times New Roman" w:eastAsiaTheme="minorEastAsia" w:hAnsi="Times New Roman" w:cs="Times New Roman"/>
          <w:sz w:val="24"/>
          <w:szCs w:val="24"/>
          <w:lang w:eastAsia="pl-PL"/>
        </w:rPr>
        <w:t>Kontrola i utrwalanie rozmów</w:t>
      </w:r>
      <w:r w:rsidRPr="00020FC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</w:p>
    <w:p w14:paraId="0D002B93" w14:textId="77777777" w:rsidR="009B0456" w:rsidRDefault="009B0456" w:rsidP="009B045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4632B" w14:textId="20C361B6" w:rsidR="00663719" w:rsidRPr="00663719" w:rsidRDefault="00663719" w:rsidP="007F5E6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19">
        <w:rPr>
          <w:rFonts w:ascii="Times New Roman" w:hAnsi="Times New Roman" w:cs="Times New Roman"/>
          <w:b/>
          <w:sz w:val="24"/>
          <w:szCs w:val="24"/>
        </w:rPr>
        <w:t>W toku praktyk należy uwzględnić w jak najszerszym zakresie utrwalenie tematyki zjazdu je poprzedzającego</w:t>
      </w:r>
      <w:r w:rsidR="007F5E65">
        <w:rPr>
          <w:rFonts w:ascii="Times New Roman" w:hAnsi="Times New Roman" w:cs="Times New Roman"/>
          <w:b/>
          <w:sz w:val="24"/>
          <w:szCs w:val="24"/>
        </w:rPr>
        <w:t>.</w:t>
      </w:r>
    </w:p>
    <w:p w14:paraId="09AD4E61" w14:textId="77777777" w:rsidR="00093CAF" w:rsidRPr="00663719" w:rsidRDefault="00093CAF" w:rsidP="004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663719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28EA" w14:textId="77777777" w:rsidR="002D269B" w:rsidRDefault="002D269B">
      <w:pPr>
        <w:spacing w:after="0" w:line="240" w:lineRule="auto"/>
      </w:pPr>
      <w:r>
        <w:separator/>
      </w:r>
    </w:p>
  </w:endnote>
  <w:endnote w:type="continuationSeparator" w:id="0">
    <w:p w14:paraId="19EA400C" w14:textId="77777777" w:rsidR="002D269B" w:rsidRDefault="002D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C6D04" w14:textId="505E7C0F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526C7">
      <w:rPr>
        <w:noProof/>
      </w:rPr>
      <w:t>2</w:t>
    </w:r>
    <w:r>
      <w:rPr>
        <w:noProof/>
      </w:rPr>
      <w:fldChar w:fldCharType="end"/>
    </w:r>
  </w:p>
  <w:p w14:paraId="155F2ACA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7351BAA2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28A23ED8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2171D4B6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26FA0756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60F83114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FEAB" w14:textId="77777777" w:rsidR="002D269B" w:rsidRDefault="002D269B">
      <w:pPr>
        <w:spacing w:after="0" w:line="240" w:lineRule="auto"/>
      </w:pPr>
      <w:r>
        <w:separator/>
      </w:r>
    </w:p>
  </w:footnote>
  <w:footnote w:type="continuationSeparator" w:id="0">
    <w:p w14:paraId="4E7C523E" w14:textId="77777777" w:rsidR="002D269B" w:rsidRDefault="002D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EAE94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5AC01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21DDC3" wp14:editId="42455490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43546786" w14:textId="77777777" w:rsidR="00F66B06" w:rsidRDefault="00F66B06" w:rsidP="00F66B06">
    <w:pPr>
      <w:pStyle w:val="Nagwek"/>
      <w:ind w:right="4959"/>
      <w:jc w:val="center"/>
      <w:rPr>
        <w:b/>
      </w:rPr>
    </w:pPr>
  </w:p>
  <w:p w14:paraId="18144C42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5DBE4BE1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6871D0A6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715E6F4E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560C8"/>
    <w:multiLevelType w:val="hybridMultilevel"/>
    <w:tmpl w:val="36A2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5C4EBE"/>
    <w:multiLevelType w:val="hybridMultilevel"/>
    <w:tmpl w:val="2348C8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07FAC"/>
    <w:multiLevelType w:val="hybridMultilevel"/>
    <w:tmpl w:val="8FE2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5870DD"/>
    <w:multiLevelType w:val="hybridMultilevel"/>
    <w:tmpl w:val="5BD6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05F20"/>
    <w:multiLevelType w:val="hybridMultilevel"/>
    <w:tmpl w:val="01F8D3A4"/>
    <w:lvl w:ilvl="0" w:tplc="B5E2106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1"/>
  </w:num>
  <w:num w:numId="12">
    <w:abstractNumId w:val="33"/>
  </w:num>
  <w:num w:numId="13">
    <w:abstractNumId w:val="23"/>
  </w:num>
  <w:num w:numId="14">
    <w:abstractNumId w:val="1"/>
  </w:num>
  <w:num w:numId="15">
    <w:abstractNumId w:val="37"/>
  </w:num>
  <w:num w:numId="16">
    <w:abstractNumId w:val="26"/>
  </w:num>
  <w:num w:numId="17">
    <w:abstractNumId w:val="8"/>
  </w:num>
  <w:num w:numId="18">
    <w:abstractNumId w:val="9"/>
  </w:num>
  <w:num w:numId="19">
    <w:abstractNumId w:val="11"/>
  </w:num>
  <w:num w:numId="20">
    <w:abstractNumId w:val="15"/>
  </w:num>
  <w:num w:numId="21">
    <w:abstractNumId w:val="0"/>
  </w:num>
  <w:num w:numId="22">
    <w:abstractNumId w:val="2"/>
  </w:num>
  <w:num w:numId="23">
    <w:abstractNumId w:val="19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5"/>
  </w:num>
  <w:num w:numId="34">
    <w:abstractNumId w:val="3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7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379E7"/>
    <w:rsid w:val="000526C7"/>
    <w:rsid w:val="00052B4E"/>
    <w:rsid w:val="000535C7"/>
    <w:rsid w:val="000641D1"/>
    <w:rsid w:val="0007004D"/>
    <w:rsid w:val="00093CAF"/>
    <w:rsid w:val="000B4076"/>
    <w:rsid w:val="000B4FC2"/>
    <w:rsid w:val="000E4223"/>
    <w:rsid w:val="000F7082"/>
    <w:rsid w:val="0010023F"/>
    <w:rsid w:val="001379E3"/>
    <w:rsid w:val="00161981"/>
    <w:rsid w:val="00170794"/>
    <w:rsid w:val="00187B67"/>
    <w:rsid w:val="001B573E"/>
    <w:rsid w:val="001D00EF"/>
    <w:rsid w:val="001D5794"/>
    <w:rsid w:val="001E0235"/>
    <w:rsid w:val="0020598C"/>
    <w:rsid w:val="00232961"/>
    <w:rsid w:val="002B600A"/>
    <w:rsid w:val="002B646D"/>
    <w:rsid w:val="002D269B"/>
    <w:rsid w:val="002F2698"/>
    <w:rsid w:val="002F3B0F"/>
    <w:rsid w:val="00313D8C"/>
    <w:rsid w:val="003141EB"/>
    <w:rsid w:val="00344B32"/>
    <w:rsid w:val="003608F9"/>
    <w:rsid w:val="00380232"/>
    <w:rsid w:val="00381D02"/>
    <w:rsid w:val="003969F2"/>
    <w:rsid w:val="003E14E1"/>
    <w:rsid w:val="003F4E1A"/>
    <w:rsid w:val="00435CDB"/>
    <w:rsid w:val="0047214A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51028"/>
    <w:rsid w:val="00560C39"/>
    <w:rsid w:val="00572C68"/>
    <w:rsid w:val="005A050B"/>
    <w:rsid w:val="005B400D"/>
    <w:rsid w:val="005C1373"/>
    <w:rsid w:val="005C2BCC"/>
    <w:rsid w:val="00623CA0"/>
    <w:rsid w:val="006241BE"/>
    <w:rsid w:val="006317C7"/>
    <w:rsid w:val="00663719"/>
    <w:rsid w:val="006738F7"/>
    <w:rsid w:val="006A6220"/>
    <w:rsid w:val="006D2112"/>
    <w:rsid w:val="00727C2B"/>
    <w:rsid w:val="007471E0"/>
    <w:rsid w:val="00766977"/>
    <w:rsid w:val="0078274D"/>
    <w:rsid w:val="00784999"/>
    <w:rsid w:val="00790100"/>
    <w:rsid w:val="007E2FC5"/>
    <w:rsid w:val="007E5AD4"/>
    <w:rsid w:val="007F5E65"/>
    <w:rsid w:val="008061D3"/>
    <w:rsid w:val="008177FC"/>
    <w:rsid w:val="00870D12"/>
    <w:rsid w:val="008830AA"/>
    <w:rsid w:val="00892D9D"/>
    <w:rsid w:val="008B6D0B"/>
    <w:rsid w:val="008C070F"/>
    <w:rsid w:val="008C1429"/>
    <w:rsid w:val="008D6932"/>
    <w:rsid w:val="009063C6"/>
    <w:rsid w:val="009262BD"/>
    <w:rsid w:val="00944825"/>
    <w:rsid w:val="009508D5"/>
    <w:rsid w:val="0097797E"/>
    <w:rsid w:val="00987268"/>
    <w:rsid w:val="009A17DB"/>
    <w:rsid w:val="009B0456"/>
    <w:rsid w:val="009C0B66"/>
    <w:rsid w:val="009C39F4"/>
    <w:rsid w:val="00A10440"/>
    <w:rsid w:val="00A53709"/>
    <w:rsid w:val="00A56009"/>
    <w:rsid w:val="00A562EA"/>
    <w:rsid w:val="00A91838"/>
    <w:rsid w:val="00AA05FD"/>
    <w:rsid w:val="00AC5D7C"/>
    <w:rsid w:val="00AE630A"/>
    <w:rsid w:val="00BC0EED"/>
    <w:rsid w:val="00BC1096"/>
    <w:rsid w:val="00BD309E"/>
    <w:rsid w:val="00BE6944"/>
    <w:rsid w:val="00C47DD6"/>
    <w:rsid w:val="00C568A4"/>
    <w:rsid w:val="00C57C0D"/>
    <w:rsid w:val="00C93C8D"/>
    <w:rsid w:val="00D24289"/>
    <w:rsid w:val="00D25D71"/>
    <w:rsid w:val="00D66CBB"/>
    <w:rsid w:val="00D75755"/>
    <w:rsid w:val="00D828DC"/>
    <w:rsid w:val="00DB4313"/>
    <w:rsid w:val="00DC52DE"/>
    <w:rsid w:val="00E25630"/>
    <w:rsid w:val="00E512BB"/>
    <w:rsid w:val="00E70548"/>
    <w:rsid w:val="00E80505"/>
    <w:rsid w:val="00E81285"/>
    <w:rsid w:val="00E96ACA"/>
    <w:rsid w:val="00EA0942"/>
    <w:rsid w:val="00EB5690"/>
    <w:rsid w:val="00ED39E2"/>
    <w:rsid w:val="00ED70B1"/>
    <w:rsid w:val="00EE1243"/>
    <w:rsid w:val="00EF18B8"/>
    <w:rsid w:val="00F05368"/>
    <w:rsid w:val="00F10FCA"/>
    <w:rsid w:val="00F44F54"/>
    <w:rsid w:val="00F47061"/>
    <w:rsid w:val="00F66B06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B2E0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2025-10-22T06:38:00Z</dcterms:created>
  <dcterms:modified xsi:type="dcterms:W3CDTF">2025-10-22T06:38:00Z</dcterms:modified>
</cp:coreProperties>
</file>