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541" w:rsidRPr="00831769" w:rsidRDefault="00E03541" w:rsidP="00831769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after="120" w:line="360" w:lineRule="auto"/>
        <w:ind w:right="5526"/>
        <w:rPr>
          <w:rFonts w:ascii="Times New Roman" w:hAnsi="Times New Roman" w:cs="Times New Roman"/>
          <w:spacing w:val="20"/>
          <w:sz w:val="24"/>
          <w:szCs w:val="24"/>
        </w:rPr>
      </w:pPr>
      <w:bookmarkStart w:id="0" w:name="_GoBack"/>
      <w:bookmarkEnd w:id="0"/>
      <w:r w:rsidRPr="0083176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F7D89FD" wp14:editId="7E236EBF">
            <wp:simplePos x="0" y="0"/>
            <wp:positionH relativeFrom="column">
              <wp:posOffset>530785</wp:posOffset>
            </wp:positionH>
            <wp:positionV relativeFrom="paragraph">
              <wp:posOffset>60325</wp:posOffset>
            </wp:positionV>
            <wp:extent cx="674446" cy="6362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8" cy="642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541" w:rsidRPr="00831769" w:rsidRDefault="00E03541" w:rsidP="00831769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spacing w:after="120" w:line="360" w:lineRule="auto"/>
        <w:ind w:left="-851" w:right="5526"/>
        <w:rPr>
          <w:rFonts w:ascii="Times New Roman" w:hAnsi="Times New Roman" w:cs="Times New Roman"/>
          <w:spacing w:val="20"/>
          <w:sz w:val="24"/>
          <w:szCs w:val="24"/>
        </w:rPr>
      </w:pPr>
      <w:r w:rsidRPr="0083176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E03541" w:rsidRPr="00831769" w:rsidRDefault="00E03541" w:rsidP="00831769">
      <w:pPr>
        <w:pStyle w:val="Nagwek"/>
        <w:spacing w:after="120" w:line="360" w:lineRule="auto"/>
        <w:ind w:right="49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541" w:rsidRPr="00831769" w:rsidRDefault="00E03541" w:rsidP="00831769">
      <w:pPr>
        <w:pStyle w:val="Nagwek"/>
        <w:spacing w:after="120" w:line="360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KRAJOWA SZKOŁA</w:t>
      </w:r>
    </w:p>
    <w:p w:rsidR="00E03541" w:rsidRPr="00831769" w:rsidRDefault="00E03541" w:rsidP="00831769">
      <w:pPr>
        <w:pStyle w:val="Nagwek"/>
        <w:spacing w:after="120" w:line="360" w:lineRule="auto"/>
        <w:ind w:left="-851" w:right="5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 xml:space="preserve"> SĄDOWNICTWA I PROKURATURY</w:t>
      </w:r>
    </w:p>
    <w:p w:rsidR="00E03541" w:rsidRPr="00831769" w:rsidRDefault="00E03541" w:rsidP="00831769">
      <w:pPr>
        <w:pStyle w:val="Nagwek"/>
        <w:spacing w:after="120" w:line="360" w:lineRule="auto"/>
        <w:ind w:right="4392" w:hanging="283"/>
        <w:rPr>
          <w:rFonts w:ascii="Times New Roman" w:hAnsi="Times New Roman" w:cs="Times New Roman"/>
          <w:b/>
          <w:sz w:val="24"/>
          <w:szCs w:val="24"/>
        </w:rPr>
      </w:pPr>
    </w:p>
    <w:p w:rsidR="00E03541" w:rsidRPr="00831769" w:rsidRDefault="00E03541" w:rsidP="00831769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Kraków, </w:t>
      </w:r>
      <w:r w:rsidR="00F66867" w:rsidRPr="00831769">
        <w:rPr>
          <w:rFonts w:ascii="Times New Roman" w:hAnsi="Times New Roman" w:cs="Times New Roman"/>
          <w:sz w:val="24"/>
          <w:szCs w:val="24"/>
        </w:rPr>
        <w:t>21 listopada</w:t>
      </w:r>
      <w:r w:rsidRPr="00831769">
        <w:rPr>
          <w:rFonts w:ascii="Times New Roman" w:hAnsi="Times New Roman" w:cs="Times New Roman"/>
          <w:sz w:val="24"/>
          <w:szCs w:val="24"/>
        </w:rPr>
        <w:t xml:space="preserve"> 2023 r.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E03541" w:rsidRPr="00831769" w:rsidTr="002B22A0">
        <w:trPr>
          <w:tblCellSpacing w:w="0" w:type="dxa"/>
        </w:trPr>
        <w:tc>
          <w:tcPr>
            <w:tcW w:w="0" w:type="auto"/>
            <w:vAlign w:val="center"/>
            <w:hideMark/>
          </w:tcPr>
          <w:p w:rsidR="00E03541" w:rsidRPr="00831769" w:rsidRDefault="00E03541" w:rsidP="00831769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3541" w:rsidRPr="00831769" w:rsidRDefault="00E03541" w:rsidP="00831769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03541" w:rsidRPr="00831769" w:rsidRDefault="00E03541" w:rsidP="00831769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1769">
        <w:rPr>
          <w:rFonts w:ascii="Times New Roman" w:hAnsi="Times New Roman" w:cs="Times New Roman"/>
          <w:i/>
          <w:sz w:val="24"/>
          <w:szCs w:val="24"/>
        </w:rPr>
        <w:t xml:space="preserve">Zalecenia w sprawie praktyk odbywanych przez aplikantów </w:t>
      </w:r>
      <w:r w:rsidR="00F66867" w:rsidRPr="00831769">
        <w:rPr>
          <w:rFonts w:ascii="Times New Roman" w:hAnsi="Times New Roman" w:cs="Times New Roman"/>
          <w:i/>
          <w:sz w:val="24"/>
          <w:szCs w:val="24"/>
        </w:rPr>
        <w:t>XIV</w:t>
      </w:r>
      <w:r w:rsidRPr="00831769">
        <w:rPr>
          <w:rFonts w:ascii="Times New Roman" w:hAnsi="Times New Roman" w:cs="Times New Roman"/>
          <w:i/>
          <w:sz w:val="24"/>
          <w:szCs w:val="24"/>
        </w:rPr>
        <w:t xml:space="preserve"> rocznika aplikacji sędziowskiej po 1</w:t>
      </w:r>
      <w:r w:rsidR="00F66867" w:rsidRPr="00831769">
        <w:rPr>
          <w:rFonts w:ascii="Times New Roman" w:hAnsi="Times New Roman" w:cs="Times New Roman"/>
          <w:i/>
          <w:sz w:val="24"/>
          <w:szCs w:val="24"/>
        </w:rPr>
        <w:t>1</w:t>
      </w:r>
      <w:r w:rsidRPr="00831769">
        <w:rPr>
          <w:rFonts w:ascii="Times New Roman" w:hAnsi="Times New Roman" w:cs="Times New Roman"/>
          <w:i/>
          <w:sz w:val="24"/>
          <w:szCs w:val="24"/>
        </w:rPr>
        <w:t xml:space="preserve"> – 1</w:t>
      </w:r>
      <w:r w:rsidR="00F66867" w:rsidRPr="00831769">
        <w:rPr>
          <w:rFonts w:ascii="Times New Roman" w:hAnsi="Times New Roman" w:cs="Times New Roman"/>
          <w:i/>
          <w:sz w:val="24"/>
          <w:szCs w:val="24"/>
        </w:rPr>
        <w:t>6</w:t>
      </w:r>
      <w:r w:rsidRPr="00831769">
        <w:rPr>
          <w:rFonts w:ascii="Times New Roman" w:hAnsi="Times New Roman" w:cs="Times New Roman"/>
          <w:i/>
          <w:sz w:val="24"/>
          <w:szCs w:val="24"/>
        </w:rPr>
        <w:t xml:space="preserve"> zjazdach</w:t>
      </w:r>
    </w:p>
    <w:p w:rsidR="00E03541" w:rsidRPr="00831769" w:rsidRDefault="00E03541" w:rsidP="0083176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03541" w:rsidRPr="00831769" w:rsidRDefault="00E03541" w:rsidP="00831769">
      <w:pPr>
        <w:spacing w:after="12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Do</w:t>
      </w:r>
    </w:p>
    <w:p w:rsidR="00E03541" w:rsidRPr="00831769" w:rsidRDefault="00E03541" w:rsidP="00831769">
      <w:pPr>
        <w:spacing w:after="12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Patronów praktyk</w:t>
      </w:r>
    </w:p>
    <w:p w:rsidR="00E03541" w:rsidRPr="00831769" w:rsidRDefault="00E03541" w:rsidP="00831769">
      <w:pPr>
        <w:spacing w:after="12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oraz Patronów koordynatorów</w:t>
      </w:r>
    </w:p>
    <w:p w:rsidR="00E03541" w:rsidRPr="00831769" w:rsidRDefault="00E03541" w:rsidP="00831769">
      <w:pPr>
        <w:spacing w:after="120" w:line="360" w:lineRule="auto"/>
        <w:ind w:firstLine="4961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aplikantów aplikacji sędziowskiej</w:t>
      </w:r>
    </w:p>
    <w:p w:rsidR="00E03541" w:rsidRPr="00831769" w:rsidRDefault="00E03541" w:rsidP="0083176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541" w:rsidRPr="00831769" w:rsidRDefault="00E03541" w:rsidP="0083176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03541" w:rsidRPr="00831769" w:rsidRDefault="00E03541" w:rsidP="008317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Ogólne założenia co do przebiegu praktyk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Założeniem praktyki co do zasady jest zaznajomienie aplikantów z czynnościami i metodyką pracy sędziego oraz doskonalenie umiejętności wykorzystania wiedzy teoretycznej i</w:t>
      </w:r>
      <w:r w:rsidR="00F66867" w:rsidRPr="00831769">
        <w:rPr>
          <w:rFonts w:ascii="Times New Roman" w:hAnsi="Times New Roman" w:cs="Times New Roman"/>
          <w:sz w:val="24"/>
          <w:szCs w:val="24"/>
        </w:rPr>
        <w:t> </w:t>
      </w:r>
      <w:r w:rsidRPr="00831769">
        <w:rPr>
          <w:rFonts w:ascii="Times New Roman" w:hAnsi="Times New Roman" w:cs="Times New Roman"/>
          <w:sz w:val="24"/>
          <w:szCs w:val="24"/>
        </w:rPr>
        <w:t xml:space="preserve">znajomości orzecznictwa. Praktyka winna utrwalać wiedzę zdobytą podczas bezpośrednio poprzedzających ją zajęć seminaryjnych w ramach zjazdu. 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9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831769">
        <w:rPr>
          <w:rFonts w:ascii="Times New Roman" w:eastAsia="Times New Roman" w:hAnsi="Times New Roman" w:cs="Times New Roman"/>
          <w:b/>
          <w:sz w:val="24"/>
          <w:szCs w:val="24"/>
        </w:rPr>
        <w:t>ma obowiązek</w:t>
      </w:r>
      <w:r w:rsidRPr="00831769">
        <w:rPr>
          <w:rFonts w:ascii="Times New Roman" w:eastAsia="Times New Roman" w:hAnsi="Times New Roman" w:cs="Times New Roman"/>
          <w:sz w:val="24"/>
          <w:szCs w:val="24"/>
        </w:rPr>
        <w:t xml:space="preserve"> omówić z aplikantem cel, szczegółowy zakres tematyczny praktyki i jej planowany przebieg oraz zapoznać aplikanta ze swoim stanowiskiem pracy i strukturą organizacyjną jednostki, w której jest zatrudniony. 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9">
        <w:rPr>
          <w:rFonts w:ascii="Times New Roman" w:eastAsia="Times New Roman" w:hAnsi="Times New Roman" w:cs="Times New Roman"/>
          <w:sz w:val="24"/>
          <w:szCs w:val="24"/>
        </w:rPr>
        <w:t xml:space="preserve">Patron praktyki </w:t>
      </w:r>
      <w:r w:rsidRPr="00831769">
        <w:rPr>
          <w:rFonts w:ascii="Times New Roman" w:eastAsia="Times New Roman" w:hAnsi="Times New Roman" w:cs="Times New Roman"/>
          <w:b/>
          <w:sz w:val="24"/>
          <w:szCs w:val="24"/>
        </w:rPr>
        <w:t>powinien w pierwszej kolejności</w:t>
      </w:r>
      <w:r w:rsidRPr="00831769">
        <w:rPr>
          <w:rFonts w:ascii="Times New Roman" w:eastAsia="Times New Roman" w:hAnsi="Times New Roman" w:cs="Times New Roman"/>
          <w:sz w:val="24"/>
          <w:szCs w:val="24"/>
        </w:rPr>
        <w:t xml:space="preserve"> powierzać aplikantowi wykonanie czynności określonych </w:t>
      </w:r>
      <w:r w:rsidRPr="00831769">
        <w:rPr>
          <w:rFonts w:ascii="Times New Roman" w:hAnsi="Times New Roman" w:cs="Times New Roman"/>
          <w:noProof/>
          <w:sz w:val="24"/>
          <w:szCs w:val="24"/>
        </w:rPr>
        <w:t xml:space="preserve">w zaleceniach dotyczących przebiegu praktyki po konkretnym zjeździe (czynności obowiązkowe), </w:t>
      </w:r>
      <w:r w:rsidRPr="00831769">
        <w:rPr>
          <w:rFonts w:ascii="Times New Roman" w:eastAsia="Times New Roman" w:hAnsi="Times New Roman" w:cs="Times New Roman"/>
          <w:sz w:val="24"/>
          <w:szCs w:val="24"/>
        </w:rPr>
        <w:t xml:space="preserve">udzielać aplikantowi wskazówek i pomocy przy wykonywaniu tych czynności oraz </w:t>
      </w:r>
      <w:r w:rsidRPr="00831769">
        <w:rPr>
          <w:rFonts w:ascii="Times New Roman" w:eastAsia="Times New Roman" w:hAnsi="Times New Roman" w:cs="Times New Roman"/>
          <w:sz w:val="24"/>
          <w:szCs w:val="24"/>
          <w:u w:val="single"/>
        </w:rPr>
        <w:t>kontrolować prawidłowość ich wykonania.</w:t>
      </w:r>
      <w:r w:rsidRPr="00831769">
        <w:rPr>
          <w:rFonts w:ascii="Times New Roman" w:eastAsia="Times New Roman" w:hAnsi="Times New Roman" w:cs="Times New Roman"/>
          <w:sz w:val="24"/>
          <w:szCs w:val="24"/>
        </w:rPr>
        <w:t xml:space="preserve"> Niemniej jednak możliwe jest także </w:t>
      </w:r>
      <w:r w:rsidRPr="008317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powierzanie aplikantowi innych niewymienionych w zaleceniach czynności do wykonania </w:t>
      </w:r>
      <w:r w:rsidR="00F66867" w:rsidRPr="0083176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31769">
        <w:rPr>
          <w:rFonts w:ascii="Times New Roman" w:eastAsia="Times New Roman" w:hAnsi="Times New Roman" w:cs="Times New Roman"/>
          <w:sz w:val="24"/>
          <w:szCs w:val="24"/>
        </w:rPr>
        <w:t>w</w:t>
      </w:r>
      <w:r w:rsidR="00F66867" w:rsidRPr="0083176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31769">
        <w:rPr>
          <w:rFonts w:ascii="Times New Roman" w:eastAsia="Times New Roman" w:hAnsi="Times New Roman" w:cs="Times New Roman"/>
          <w:sz w:val="24"/>
          <w:szCs w:val="24"/>
        </w:rPr>
        <w:t xml:space="preserve">ramach tematyki zjazdów. 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31769">
        <w:rPr>
          <w:rFonts w:ascii="Times New Roman" w:hAnsi="Times New Roman" w:cs="Times New Roman"/>
          <w:sz w:val="24"/>
          <w:szCs w:val="24"/>
        </w:rPr>
        <w:t>W sytuacji, gdy po zakończeniu praktyki aplikanci będą pisać sprawdzian, patron praktyki winien zwrócić szczególną uwagę na nabycie przez aplikantów umiejętności samodzielnego opracowywania projektów orzeczeń/czynności procesowych będących przedmiotem sprawdzianu.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Zaleca się</w:t>
      </w:r>
      <w:r w:rsidRPr="00831769">
        <w:rPr>
          <w:rFonts w:ascii="Times New Roman" w:hAnsi="Times New Roman" w:cs="Times New Roman"/>
          <w:sz w:val="24"/>
          <w:szCs w:val="24"/>
        </w:rPr>
        <w:t xml:space="preserve"> angażowanie aplikanta, który odbył 24 miesiące aplikacji, w czynności, o których mowa w art. 45 § 3 </w:t>
      </w:r>
      <w:r w:rsidRPr="00831769">
        <w:rPr>
          <w:rFonts w:ascii="Times New Roman" w:hAnsi="Times New Roman" w:cs="Times New Roman"/>
          <w:bCs/>
          <w:sz w:val="24"/>
          <w:szCs w:val="24"/>
        </w:rPr>
        <w:t>ustawy z dnia 27 lipca 2001 r. Prawo o ustroju sądów powszechnych.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W przypadku, gdy zrealizowanie czynności zawartych w zaleceniach dotyczących przebiegu danej praktyki okazało się niemożliwe w czasie jej trwania, należy je uzupełnić podczas kolejnych praktyk – tak, aby aplikant po zakończeniu cyklu praktyk w danym wydziale posiadł wszystkie niezbędne umiejętności z zakresu objętego programem wyszczególnionych zjazdów.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769">
        <w:rPr>
          <w:rFonts w:ascii="Times New Roman" w:eastAsia="Times New Roman" w:hAnsi="Times New Roman" w:cs="Times New Roman"/>
          <w:sz w:val="24"/>
          <w:szCs w:val="24"/>
        </w:rPr>
        <w:t xml:space="preserve">Uprzejmie proszę o zapoznanie się </w:t>
      </w:r>
      <w:r w:rsidRPr="00831769">
        <w:rPr>
          <w:rFonts w:ascii="Times New Roman" w:eastAsia="Times New Roman" w:hAnsi="Times New Roman" w:cs="Times New Roman"/>
          <w:b/>
          <w:sz w:val="24"/>
          <w:szCs w:val="24"/>
        </w:rPr>
        <w:t>z zarządzeniem Dyrektora Krajowej Szkoły Sądownictwa i Prokuratury Nr 539/2021 z dnia 27 października 2021 r. w sprawie szczegółowych zasad odbywania praktyk przez aplikantów aplikacji sędziowskiej i aplikacji prokuratorskie</w:t>
      </w:r>
      <w:r w:rsidRPr="00831769">
        <w:rPr>
          <w:rFonts w:ascii="Times New Roman" w:eastAsia="Times New Roman" w:hAnsi="Times New Roman" w:cs="Times New Roman"/>
          <w:sz w:val="24"/>
          <w:szCs w:val="24"/>
        </w:rPr>
        <w:t>j, które znajduje się na stronie internetowej Krajowej Szkoły Sądownictwa i Prokuratury pod adresem</w:t>
      </w:r>
      <w:r w:rsidRPr="0083176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317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https://www.kssip.gov.pl/node/7958.</w:t>
        </w:r>
      </w:hyperlink>
      <w:r w:rsidRPr="0083176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541" w:rsidRPr="00831769" w:rsidRDefault="00E03541" w:rsidP="008317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769">
        <w:rPr>
          <w:rFonts w:ascii="Times New Roman" w:eastAsia="Times New Roman" w:hAnsi="Times New Roman" w:cs="Times New Roman"/>
          <w:b/>
          <w:sz w:val="24"/>
          <w:szCs w:val="24"/>
        </w:rPr>
        <w:t>Schemat organizacyjny praktyk w sądzie rejonowym – wydziale cywilnym procesowym</w:t>
      </w:r>
    </w:p>
    <w:p w:rsidR="00E03541" w:rsidRPr="00831769" w:rsidRDefault="00E03541" w:rsidP="00831769">
      <w:pPr>
        <w:pStyle w:val="Akapitzlist"/>
        <w:spacing w:after="120" w:line="360" w:lineRule="auto"/>
        <w:ind w:left="71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1871"/>
        <w:gridCol w:w="2126"/>
        <w:gridCol w:w="4082"/>
      </w:tblGrid>
      <w:tr w:rsidR="00E03541" w:rsidRPr="00831769" w:rsidTr="005B464C">
        <w:trPr>
          <w:jc w:val="center"/>
        </w:trPr>
        <w:tc>
          <w:tcPr>
            <w:tcW w:w="993" w:type="dxa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Numer zjazdu</w:t>
            </w:r>
          </w:p>
        </w:tc>
        <w:tc>
          <w:tcPr>
            <w:tcW w:w="1871" w:type="dxa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Termin zjazdu</w:t>
            </w:r>
          </w:p>
        </w:tc>
        <w:tc>
          <w:tcPr>
            <w:tcW w:w="2126" w:type="dxa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Czas trwania i termin praktyki</w:t>
            </w:r>
          </w:p>
        </w:tc>
        <w:tc>
          <w:tcPr>
            <w:tcW w:w="4082" w:type="dxa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Data i przedmiot sprawdzianu</w:t>
            </w:r>
          </w:p>
        </w:tc>
      </w:tr>
      <w:tr w:rsidR="00E03541" w:rsidRPr="00831769" w:rsidTr="005B464C">
        <w:trPr>
          <w:jc w:val="center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5750"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E03541" w:rsidRPr="00831769" w:rsidRDefault="00B93FF9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64C"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- 8.12.2023 r.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03541" w:rsidRPr="00831769" w:rsidRDefault="00B93FF9" w:rsidP="00831769">
            <w:pPr>
              <w:spacing w:after="120" w:line="36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Cs/>
                <w:sz w:val="24"/>
                <w:szCs w:val="24"/>
              </w:rPr>
              <w:t>11.12.2023 r. –</w:t>
            </w:r>
            <w:r w:rsidR="005B464C" w:rsidRPr="008317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317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2.1.2024 r. </w:t>
            </w:r>
            <w:r w:rsidR="00E03541" w:rsidRPr="008317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64C" w:rsidRPr="0083176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3541" w:rsidRPr="00831769">
              <w:rPr>
                <w:rFonts w:ascii="Times New Roman" w:hAnsi="Times New Roman" w:cs="Times New Roman"/>
                <w:sz w:val="24"/>
                <w:szCs w:val="24"/>
              </w:rPr>
              <w:t>tygodni)</w:t>
            </w:r>
          </w:p>
        </w:tc>
        <w:tc>
          <w:tcPr>
            <w:tcW w:w="4082" w:type="dxa"/>
            <w:shd w:val="clear" w:color="auto" w:fill="E2EFD9" w:themeFill="accent6" w:themeFillTint="33"/>
            <w:vAlign w:val="center"/>
          </w:tcPr>
          <w:p w:rsidR="00E03541" w:rsidRPr="00831769" w:rsidRDefault="005B464C" w:rsidP="0083176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</w:t>
            </w:r>
            <w:r w:rsidR="00B64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Pr="0083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1.2024</w:t>
            </w:r>
            <w:r w:rsidR="00B408D3" w:rsidRPr="0083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r.</w:t>
            </w:r>
            <w:r w:rsidR="00B408D3" w:rsidRPr="008317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43D94"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przygotowanie projektu postanowienia lub zarządzenia; klasyfikacja braków formalnych i fiskalnych pozwu oraz przeszkód procesowych. </w:t>
            </w:r>
          </w:p>
        </w:tc>
      </w:tr>
      <w:tr w:rsidR="00E03541" w:rsidRPr="00831769" w:rsidTr="005B464C">
        <w:trPr>
          <w:jc w:val="center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5750"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C5E0B3" w:themeFill="accent6" w:themeFillTint="66"/>
            <w:vAlign w:val="center"/>
          </w:tcPr>
          <w:p w:rsidR="00E03541" w:rsidRPr="00831769" w:rsidRDefault="0069766A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6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-19.01.2024 r. 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03541" w:rsidRPr="00831769" w:rsidRDefault="00913CE5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praktyka 22.01.2024 r. – 9.02.2024 r.</w:t>
            </w:r>
          </w:p>
          <w:p w:rsidR="00913CE5" w:rsidRPr="00831769" w:rsidRDefault="00913CE5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 tygodnie)</w:t>
            </w:r>
          </w:p>
        </w:tc>
        <w:tc>
          <w:tcPr>
            <w:tcW w:w="4082" w:type="dxa"/>
            <w:shd w:val="clear" w:color="auto" w:fill="C5E0B3" w:themeFill="accent6" w:themeFillTint="66"/>
            <w:vAlign w:val="center"/>
          </w:tcPr>
          <w:p w:rsidR="00E03541" w:rsidRPr="00831769" w:rsidRDefault="0069766A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</w:t>
            </w:r>
          </w:p>
        </w:tc>
      </w:tr>
      <w:tr w:rsidR="00E03541" w:rsidRPr="00831769" w:rsidTr="005B464C">
        <w:trPr>
          <w:jc w:val="center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5750"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E03541" w:rsidRPr="00831769" w:rsidRDefault="00204A45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-16.02.2024 r.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982F8D" w:rsidRPr="00831769" w:rsidRDefault="00982F8D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19.02.2024 r. – 8.03.2024 r</w:t>
            </w:r>
          </w:p>
          <w:p w:rsidR="00E03541" w:rsidRPr="00831769" w:rsidRDefault="00982F8D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(3 tygodnie)</w:t>
            </w:r>
          </w:p>
        </w:tc>
        <w:tc>
          <w:tcPr>
            <w:tcW w:w="4082" w:type="dxa"/>
            <w:shd w:val="clear" w:color="auto" w:fill="E2EFD9" w:themeFill="accent6" w:themeFillTint="33"/>
            <w:vAlign w:val="center"/>
          </w:tcPr>
          <w:p w:rsidR="00E03541" w:rsidRPr="00831769" w:rsidRDefault="00E20167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03541" w:rsidRPr="00831769" w:rsidTr="005B464C">
        <w:trPr>
          <w:jc w:val="center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5750"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1" w:type="dxa"/>
            <w:shd w:val="clear" w:color="auto" w:fill="C5E0B3" w:themeFill="accent6" w:themeFillTint="66"/>
            <w:vAlign w:val="center"/>
          </w:tcPr>
          <w:p w:rsidR="00E03541" w:rsidRPr="00831769" w:rsidRDefault="0069766A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-15.03.2024 r. 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03541" w:rsidRPr="00831769" w:rsidRDefault="00913CE5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18.03.2024 r. – 5.04.2024 r.</w:t>
            </w:r>
          </w:p>
          <w:p w:rsidR="00913CE5" w:rsidRPr="00831769" w:rsidRDefault="00913CE5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(3 tygodnie)</w:t>
            </w:r>
          </w:p>
        </w:tc>
        <w:tc>
          <w:tcPr>
            <w:tcW w:w="4082" w:type="dxa"/>
            <w:shd w:val="clear" w:color="auto" w:fill="C5E0B3" w:themeFill="accent6" w:themeFillTint="66"/>
            <w:vAlign w:val="center"/>
          </w:tcPr>
          <w:p w:rsidR="00E03541" w:rsidRPr="00831769" w:rsidRDefault="0069766A" w:rsidP="00831769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8.04.2024 r.: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 przygotowanie planu rozprawy</w:t>
            </w:r>
          </w:p>
        </w:tc>
      </w:tr>
      <w:tr w:rsidR="00E03541" w:rsidRPr="00831769" w:rsidTr="005B464C">
        <w:trPr>
          <w:jc w:val="center"/>
        </w:trPr>
        <w:tc>
          <w:tcPr>
            <w:tcW w:w="993" w:type="dxa"/>
            <w:shd w:val="clear" w:color="auto" w:fill="E2EFD9" w:themeFill="accent6" w:themeFillTint="33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5750"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  <w:shd w:val="clear" w:color="auto" w:fill="E2EFD9" w:themeFill="accent6" w:themeFillTint="33"/>
            <w:vAlign w:val="center"/>
          </w:tcPr>
          <w:p w:rsidR="00E03541" w:rsidRPr="00831769" w:rsidRDefault="003F26DD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-12.04.2024</w:t>
            </w:r>
            <w:r w:rsidR="00C86EDB" w:rsidRPr="0083176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:rsidR="00E03541" w:rsidRPr="00831769" w:rsidRDefault="003F26DD" w:rsidP="0083176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15.04 – 2.</w:t>
            </w:r>
            <w:r w:rsidR="00C86EDB" w:rsidRPr="00831769">
              <w:rPr>
                <w:rFonts w:ascii="Times New Roman" w:hAnsi="Times New Roman" w:cs="Times New Roman"/>
                <w:sz w:val="24"/>
                <w:szCs w:val="24"/>
              </w:rPr>
              <w:t>05.2024r.</w:t>
            </w:r>
          </w:p>
          <w:p w:rsidR="00913CE5" w:rsidRPr="00831769" w:rsidRDefault="00913CE5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(3 tygodnie)</w:t>
            </w:r>
          </w:p>
        </w:tc>
        <w:tc>
          <w:tcPr>
            <w:tcW w:w="4082" w:type="dxa"/>
            <w:shd w:val="clear" w:color="auto" w:fill="E2EFD9" w:themeFill="accent6" w:themeFillTint="33"/>
            <w:vAlign w:val="center"/>
          </w:tcPr>
          <w:p w:rsidR="00E03541" w:rsidRPr="00831769" w:rsidRDefault="003F26DD" w:rsidP="0083176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6.05.2024 r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.: przygotowanie projektu wyroku z uzasadnieniem w sprawie o eksmisję lub</w:t>
            </w:r>
            <w:r w:rsidR="00162342"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wynagrodzenie za bezumowne korzystanie z </w:t>
            </w:r>
            <w:r w:rsidR="0069766A" w:rsidRPr="00831769">
              <w:rPr>
                <w:rFonts w:ascii="Times New Roman" w:hAnsi="Times New Roman" w:cs="Times New Roman"/>
                <w:sz w:val="24"/>
                <w:szCs w:val="24"/>
              </w:rPr>
              <w:t>lokalu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/nieruchomości lub o uzgodnienie treści</w:t>
            </w:r>
            <w:r w:rsidR="00162342" w:rsidRPr="0083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księgi wieczystej z rzeczywistym stanem prawnym.</w:t>
            </w:r>
          </w:p>
        </w:tc>
      </w:tr>
      <w:tr w:rsidR="00E03541" w:rsidRPr="00831769" w:rsidTr="005B464C">
        <w:trPr>
          <w:jc w:val="center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:rsidR="00E03541" w:rsidRPr="00831769" w:rsidRDefault="00E03541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F5750" w:rsidRPr="008317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1" w:type="dxa"/>
            <w:shd w:val="clear" w:color="auto" w:fill="C5E0B3" w:themeFill="accent6" w:themeFillTint="66"/>
            <w:vAlign w:val="center"/>
          </w:tcPr>
          <w:p w:rsidR="00E03541" w:rsidRPr="00831769" w:rsidRDefault="0069766A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64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-10.05.2024 r.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E03541" w:rsidRPr="00831769" w:rsidRDefault="00913CE5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13.05.2024 r. – 31.05.2024 r.</w:t>
            </w:r>
          </w:p>
          <w:p w:rsidR="00913CE5" w:rsidRPr="00831769" w:rsidRDefault="00913CE5" w:rsidP="0083176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(3 tygodnie)</w:t>
            </w:r>
          </w:p>
        </w:tc>
        <w:tc>
          <w:tcPr>
            <w:tcW w:w="4082" w:type="dxa"/>
            <w:shd w:val="clear" w:color="auto" w:fill="C5E0B3" w:themeFill="accent6" w:themeFillTint="66"/>
            <w:vAlign w:val="center"/>
          </w:tcPr>
          <w:p w:rsidR="00E03541" w:rsidRPr="00831769" w:rsidRDefault="0069766A" w:rsidP="00831769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7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3.06.2024 r.</w:t>
            </w:r>
            <w:r w:rsidRPr="00831769">
              <w:rPr>
                <w:rFonts w:ascii="Times New Roman" w:hAnsi="Times New Roman" w:cs="Times New Roman"/>
                <w:sz w:val="24"/>
                <w:szCs w:val="24"/>
              </w:rPr>
              <w:t>: przygotowanie projektu dwóch postanowień z uzasadnieniem dotyczących udzielenia zabezpieczenia, wraz ze stosownymi zarządzeniami</w:t>
            </w:r>
          </w:p>
        </w:tc>
      </w:tr>
    </w:tbl>
    <w:p w:rsidR="00E03541" w:rsidRPr="00831769" w:rsidRDefault="00E03541" w:rsidP="00831769">
      <w:pPr>
        <w:pStyle w:val="Akapitzlist"/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03541" w:rsidRPr="00831769" w:rsidRDefault="00E03541" w:rsidP="00831769">
      <w:pPr>
        <w:pStyle w:val="Akapitzlist"/>
        <w:spacing w:after="12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03541" w:rsidRPr="00831769" w:rsidRDefault="00E03541" w:rsidP="00831769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1769">
        <w:rPr>
          <w:rFonts w:ascii="Times New Roman" w:eastAsia="Times New Roman" w:hAnsi="Times New Roman" w:cs="Times New Roman"/>
          <w:b/>
          <w:sz w:val="24"/>
          <w:szCs w:val="24"/>
        </w:rPr>
        <w:t>Zalecenia dotyczące przebiegu poszczególnych praktyk</w:t>
      </w:r>
    </w:p>
    <w:p w:rsidR="00E03541" w:rsidRPr="00831769" w:rsidRDefault="00E03541" w:rsidP="008317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831769" w:rsidRDefault="00E03541" w:rsidP="00831769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 xml:space="preserve"> ZALECENIA W SPRAWIE PRAKTYK PO 1</w:t>
      </w:r>
      <w:r w:rsidR="00BF5750" w:rsidRPr="00831769">
        <w:rPr>
          <w:rFonts w:ascii="Times New Roman" w:hAnsi="Times New Roman" w:cs="Times New Roman"/>
          <w:b/>
          <w:sz w:val="24"/>
          <w:szCs w:val="24"/>
        </w:rPr>
        <w:t>1</w:t>
      </w:r>
      <w:r w:rsidRPr="00831769">
        <w:rPr>
          <w:rFonts w:ascii="Times New Roman" w:hAnsi="Times New Roman" w:cs="Times New Roman"/>
          <w:b/>
          <w:sz w:val="24"/>
          <w:szCs w:val="24"/>
        </w:rPr>
        <w:t xml:space="preserve"> ZJEŹDZIE</w:t>
      </w:r>
    </w:p>
    <w:p w:rsidR="005B464C" w:rsidRPr="00831769" w:rsidRDefault="00E03541" w:rsidP="0083176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="005B464C" w:rsidRPr="00831769">
        <w:rPr>
          <w:rFonts w:ascii="Times New Roman" w:hAnsi="Times New Roman" w:cs="Times New Roman"/>
          <w:sz w:val="24"/>
          <w:szCs w:val="24"/>
        </w:rPr>
        <w:t>Czynności prawne. Przeszkody procesowe, braki formalne i fiskalne, reprezentacja przed sądem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poświęcić szczególną uwagę zagadnieniem prawa cywilnego, które obejmują:</w:t>
      </w:r>
    </w:p>
    <w:p w:rsidR="005B464C" w:rsidRPr="00831769" w:rsidRDefault="00E03541" w:rsidP="00831769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oświadczenia woli, wady oświadczenia woli;</w:t>
      </w:r>
    </w:p>
    <w:p w:rsidR="005D2966" w:rsidRPr="00831769" w:rsidRDefault="005D2966" w:rsidP="00831769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nieważność i bezskuteczność czynności prawnej</w:t>
      </w:r>
      <w:r w:rsidR="00F66867" w:rsidRPr="00831769">
        <w:rPr>
          <w:rFonts w:ascii="Times New Roman" w:hAnsi="Times New Roman" w:cs="Times New Roman"/>
          <w:sz w:val="24"/>
          <w:szCs w:val="24"/>
        </w:rPr>
        <w:t>;</w:t>
      </w:r>
    </w:p>
    <w:p w:rsidR="005D2966" w:rsidRPr="00831769" w:rsidRDefault="005B464C" w:rsidP="00831769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lastRenderedPageBreak/>
        <w:t>warunek i termin</w:t>
      </w:r>
      <w:r w:rsidR="00F66867" w:rsidRPr="00831769">
        <w:rPr>
          <w:rFonts w:ascii="Times New Roman" w:hAnsi="Times New Roman" w:cs="Times New Roman"/>
          <w:sz w:val="24"/>
          <w:szCs w:val="24"/>
        </w:rPr>
        <w:t>;</w:t>
      </w:r>
    </w:p>
    <w:p w:rsidR="00E03541" w:rsidRPr="00831769" w:rsidRDefault="005D2966" w:rsidP="00831769">
      <w:pPr>
        <w:numPr>
          <w:ilvl w:val="0"/>
          <w:numId w:val="15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przedstawicielstwo, ze szczególnym uwzględnieniem pełnomocnictwa.</w:t>
      </w: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poświęcić uwagę przede wszystkim kwestiom obejmującym: </w:t>
      </w:r>
    </w:p>
    <w:p w:rsidR="005D2966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tryby, rodzaje postępowania cywilnego</w:t>
      </w:r>
      <w:r w:rsidR="00F66867" w:rsidRPr="00831769">
        <w:rPr>
          <w:rFonts w:ascii="Times New Roman" w:hAnsi="Times New Roman" w:cs="Times New Roman"/>
          <w:sz w:val="24"/>
          <w:szCs w:val="24"/>
        </w:rPr>
        <w:t>;</w:t>
      </w:r>
      <w:r w:rsidRPr="0083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541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zasady procesu cywilnego, pojęcie sprawy cywilnej, prawo do sądu; </w:t>
      </w:r>
    </w:p>
    <w:p w:rsidR="005D2966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zdolność sądową i procesową oraz postulacyjną, </w:t>
      </w:r>
    </w:p>
    <w:p w:rsidR="005D2966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jurysdykcję i pozostałe przeszkody procesowe; </w:t>
      </w:r>
    </w:p>
    <w:p w:rsidR="005D2966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właściwość sądu; </w:t>
      </w:r>
    </w:p>
    <w:p w:rsidR="00E03541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kontrolę wymogów formalnych i fiskalnych pism procesowych; </w:t>
      </w:r>
    </w:p>
    <w:p w:rsidR="00E03541" w:rsidRPr="00831769" w:rsidRDefault="00E03541" w:rsidP="00831769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Andale Sans UI" w:hAnsi="Times New Roman" w:cs="Times New Roman"/>
          <w:kern w:val="3"/>
          <w:sz w:val="24"/>
          <w:szCs w:val="24"/>
        </w:rPr>
        <w:t>zaniechanie podejmowania czynności, które ustawa nakazuje podjąć w następstwie wniesienia pozwu, w przypadku oczywistej bezzasadności powództwa (art. 191</w:t>
      </w:r>
      <w:r w:rsidRPr="00831769">
        <w:rPr>
          <w:rFonts w:ascii="Times New Roman" w:eastAsia="Andale Sans UI" w:hAnsi="Times New Roman" w:cs="Times New Roman"/>
          <w:kern w:val="3"/>
          <w:sz w:val="24"/>
          <w:szCs w:val="24"/>
          <w:vertAlign w:val="superscript"/>
        </w:rPr>
        <w:t>1</w:t>
      </w:r>
      <w:r w:rsidRPr="00831769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 k.p.c.);</w:t>
      </w:r>
    </w:p>
    <w:p w:rsidR="00E03541" w:rsidRPr="00831769" w:rsidRDefault="00E03541" w:rsidP="00831769">
      <w:pPr>
        <w:numPr>
          <w:ilvl w:val="0"/>
          <w:numId w:val="2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wartość przedmiotu sporu, w tym sprawdzenie wartości przedmiotu sporu przez sąd; </w:t>
      </w:r>
    </w:p>
    <w:p w:rsidR="005D2966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zwolnienie od kosztów sądowych, ustanowienie pełnomocnika z urzędu; </w:t>
      </w:r>
    </w:p>
    <w:p w:rsidR="005D2966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reprezentację stron, w tym reprezentację Skarbu Państwa i jednostek samorządu terytorialnego;</w:t>
      </w:r>
    </w:p>
    <w:p w:rsidR="005D2966" w:rsidRPr="00831769" w:rsidRDefault="005D2966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działanie przedstawiciela ustawowego lub kuratora</w:t>
      </w:r>
      <w:r w:rsidR="00F66867" w:rsidRPr="00831769">
        <w:rPr>
          <w:rFonts w:ascii="Times New Roman" w:hAnsi="Times New Roman" w:cs="Times New Roman"/>
          <w:sz w:val="24"/>
          <w:szCs w:val="24"/>
        </w:rPr>
        <w:t>;</w:t>
      </w:r>
      <w:r w:rsidRPr="00831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966" w:rsidRPr="00831769" w:rsidRDefault="005D2966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interwencj</w:t>
      </w:r>
      <w:r w:rsidR="00F66867" w:rsidRPr="00831769">
        <w:rPr>
          <w:rFonts w:ascii="Times New Roman" w:hAnsi="Times New Roman" w:cs="Times New Roman"/>
          <w:sz w:val="24"/>
          <w:szCs w:val="24"/>
        </w:rPr>
        <w:t>ę</w:t>
      </w:r>
      <w:r w:rsidRPr="00831769">
        <w:rPr>
          <w:rFonts w:ascii="Times New Roman" w:hAnsi="Times New Roman" w:cs="Times New Roman"/>
          <w:sz w:val="24"/>
          <w:szCs w:val="24"/>
        </w:rPr>
        <w:t xml:space="preserve"> główn</w:t>
      </w:r>
      <w:r w:rsidR="00F66867" w:rsidRPr="00831769">
        <w:rPr>
          <w:rFonts w:ascii="Times New Roman" w:hAnsi="Times New Roman" w:cs="Times New Roman"/>
          <w:sz w:val="24"/>
          <w:szCs w:val="24"/>
        </w:rPr>
        <w:t>ą</w:t>
      </w:r>
      <w:r w:rsidRPr="00831769">
        <w:rPr>
          <w:rFonts w:ascii="Times New Roman" w:hAnsi="Times New Roman" w:cs="Times New Roman"/>
          <w:sz w:val="24"/>
          <w:szCs w:val="24"/>
        </w:rPr>
        <w:t xml:space="preserve"> i uboczn</w:t>
      </w:r>
      <w:r w:rsidR="00F66867" w:rsidRPr="00831769">
        <w:rPr>
          <w:rFonts w:ascii="Times New Roman" w:hAnsi="Times New Roman" w:cs="Times New Roman"/>
          <w:sz w:val="24"/>
          <w:szCs w:val="24"/>
        </w:rPr>
        <w:t>ą;</w:t>
      </w:r>
    </w:p>
    <w:p w:rsidR="00E03541" w:rsidRPr="00831769" w:rsidRDefault="00E03541" w:rsidP="00831769">
      <w:pPr>
        <w:pStyle w:val="Akapitzlist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udział prokuratora i organizacji pozarządowych w procesie.</w:t>
      </w:r>
    </w:p>
    <w:p w:rsidR="00E03541" w:rsidRPr="00831769" w:rsidRDefault="00E03541" w:rsidP="00831769">
      <w:pPr>
        <w:pStyle w:val="Akapitzlist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03541" w:rsidRPr="00831769" w:rsidRDefault="00E03541" w:rsidP="00831769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69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E03541" w:rsidRPr="00831769" w:rsidRDefault="00E03541" w:rsidP="00831769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sporządzenie co najmniej dwóch projektów wyroków wraz z uzasadnieniem</w:t>
      </w:r>
      <w:r w:rsidR="0054664D">
        <w:rPr>
          <w:rFonts w:ascii="Times New Roman" w:hAnsi="Times New Roman" w:cs="Times New Roman"/>
          <w:sz w:val="24"/>
          <w:szCs w:val="24"/>
        </w:rPr>
        <w:t xml:space="preserve"> (i zarządzeniami)</w:t>
      </w:r>
      <w:r w:rsidRPr="00831769">
        <w:rPr>
          <w:rFonts w:ascii="Times New Roman" w:hAnsi="Times New Roman" w:cs="Times New Roman"/>
          <w:sz w:val="24"/>
          <w:szCs w:val="24"/>
        </w:rPr>
        <w:t xml:space="preserve"> – z tematyki prawa materialnego wskazanej powyżej (w pkt. 1 </w:t>
      </w:r>
      <w:r w:rsidR="005D2966" w:rsidRPr="00831769">
        <w:rPr>
          <w:rFonts w:ascii="Times New Roman" w:hAnsi="Times New Roman" w:cs="Times New Roman"/>
          <w:sz w:val="24"/>
          <w:szCs w:val="24"/>
        </w:rPr>
        <w:t>-</w:t>
      </w:r>
      <w:r w:rsidRPr="00831769">
        <w:rPr>
          <w:rFonts w:ascii="Times New Roman" w:hAnsi="Times New Roman" w:cs="Times New Roman"/>
          <w:sz w:val="24"/>
          <w:szCs w:val="24"/>
        </w:rPr>
        <w:t xml:space="preserve"> </w:t>
      </w:r>
      <w:r w:rsidR="005D2966" w:rsidRPr="00831769">
        <w:rPr>
          <w:rFonts w:ascii="Times New Roman" w:hAnsi="Times New Roman" w:cs="Times New Roman"/>
          <w:sz w:val="24"/>
          <w:szCs w:val="24"/>
        </w:rPr>
        <w:t>3</w:t>
      </w:r>
      <w:r w:rsidRPr="00831769">
        <w:rPr>
          <w:rFonts w:ascii="Times New Roman" w:hAnsi="Times New Roman" w:cs="Times New Roman"/>
          <w:sz w:val="24"/>
          <w:szCs w:val="24"/>
        </w:rPr>
        <w:t>);</w:t>
      </w:r>
    </w:p>
    <w:p w:rsidR="00E03541" w:rsidRPr="00831769" w:rsidRDefault="00E03541" w:rsidP="00831769">
      <w:pPr>
        <w:pStyle w:val="Akapitzlist"/>
        <w:numPr>
          <w:ilvl w:val="0"/>
          <w:numId w:val="5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 oraz projektów uzasadnień (jeżeli decyzje podlegają uzasadnieniu): </w:t>
      </w:r>
    </w:p>
    <w:p w:rsidR="00E03541" w:rsidRPr="00831769" w:rsidRDefault="00E03541" w:rsidP="00831769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after="12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zarządzenia wzywającego do uzupełnienia braków formalnych i fiskalnych pozwu;</w:t>
      </w:r>
    </w:p>
    <w:p w:rsidR="00E03541" w:rsidRPr="00831769" w:rsidRDefault="00E03541" w:rsidP="00831769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after="12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lastRenderedPageBreak/>
        <w:t xml:space="preserve">zarządzenia wzywającego do uzupełnienia braków wniosku o zwolnienie od kosztów sądowych i ustanowienie pełnomocnika z urzędu; </w:t>
      </w:r>
    </w:p>
    <w:p w:rsidR="00E03541" w:rsidRPr="00831769" w:rsidRDefault="00E03541" w:rsidP="00831769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after="12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zarządzenia o zwrocie pozwu;</w:t>
      </w:r>
    </w:p>
    <w:p w:rsidR="00E03541" w:rsidRPr="00831769" w:rsidRDefault="00E03541" w:rsidP="00831769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after="12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postanowienia w przedmiocie wniosku o zwolnienie od kosztów sądowych i ustanowienie pełnomocnika procesowego;</w:t>
      </w:r>
    </w:p>
    <w:p w:rsidR="00E03541" w:rsidRPr="00831769" w:rsidRDefault="00E03541" w:rsidP="00831769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after="12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postanowienia w przedmiocie odrzucenia pozwu;</w:t>
      </w:r>
    </w:p>
    <w:p w:rsidR="00E03541" w:rsidRPr="00831769" w:rsidRDefault="00E03541" w:rsidP="00831769">
      <w:pPr>
        <w:pStyle w:val="Akapitzlist"/>
        <w:numPr>
          <w:ilvl w:val="0"/>
          <w:numId w:val="18"/>
        </w:numPr>
        <w:tabs>
          <w:tab w:val="left" w:pos="407"/>
          <w:tab w:val="left" w:pos="3681"/>
          <w:tab w:val="left" w:pos="4692"/>
        </w:tabs>
        <w:spacing w:after="12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postanowienia o stwierdzeniu niewłaściwości (miejscowej, rzeczowej) i przekazaniu sprawy sądowi właściwemu;</w:t>
      </w:r>
    </w:p>
    <w:p w:rsidR="00E03541" w:rsidRPr="00831769" w:rsidRDefault="00E03541" w:rsidP="00831769">
      <w:pPr>
        <w:pStyle w:val="Teksttreci60"/>
        <w:numPr>
          <w:ilvl w:val="0"/>
          <w:numId w:val="18"/>
        </w:numPr>
        <w:shd w:val="clear" w:color="auto" w:fill="auto"/>
        <w:tabs>
          <w:tab w:val="left" w:leader="dot" w:pos="3805"/>
        </w:tabs>
        <w:spacing w:after="120" w:line="360" w:lineRule="auto"/>
        <w:ind w:left="993"/>
        <w:jc w:val="both"/>
        <w:rPr>
          <w:sz w:val="24"/>
          <w:szCs w:val="24"/>
        </w:rPr>
      </w:pPr>
      <w:r w:rsidRPr="00831769">
        <w:rPr>
          <w:sz w:val="24"/>
          <w:szCs w:val="24"/>
        </w:rPr>
        <w:t>postanowienia w przedmiocie wyznaczenia odpowiedniego terminu do uzupełnienia braków w zakresie zdolności sądowej lub procesowej strony bądź w składzie właściwych organów;</w:t>
      </w:r>
    </w:p>
    <w:p w:rsidR="00E03541" w:rsidRPr="00831769" w:rsidRDefault="00E03541" w:rsidP="00831769">
      <w:pPr>
        <w:pStyle w:val="Teksttreci60"/>
        <w:numPr>
          <w:ilvl w:val="0"/>
          <w:numId w:val="18"/>
        </w:numPr>
        <w:shd w:val="clear" w:color="auto" w:fill="auto"/>
        <w:tabs>
          <w:tab w:val="left" w:leader="dot" w:pos="3805"/>
        </w:tabs>
        <w:spacing w:after="120" w:line="360" w:lineRule="auto"/>
        <w:ind w:left="993"/>
        <w:jc w:val="both"/>
        <w:rPr>
          <w:sz w:val="24"/>
          <w:szCs w:val="24"/>
        </w:rPr>
      </w:pPr>
      <w:r w:rsidRPr="00831769">
        <w:rPr>
          <w:sz w:val="24"/>
          <w:szCs w:val="24"/>
        </w:rPr>
        <w:t>postanowienia o dopuszczeniu tymczasowym do podjęcia naglącej czynności procesowej osoby niemogącej na razie przedstawić pełnomocnictwa;</w:t>
      </w:r>
    </w:p>
    <w:p w:rsidR="00E03541" w:rsidRPr="00831769" w:rsidRDefault="00E03541" w:rsidP="00831769">
      <w:pPr>
        <w:pStyle w:val="Teksttreci60"/>
        <w:numPr>
          <w:ilvl w:val="0"/>
          <w:numId w:val="18"/>
        </w:numPr>
        <w:shd w:val="clear" w:color="auto" w:fill="auto"/>
        <w:tabs>
          <w:tab w:val="left" w:leader="dot" w:pos="3805"/>
        </w:tabs>
        <w:spacing w:after="120" w:line="360" w:lineRule="auto"/>
        <w:ind w:left="993"/>
        <w:jc w:val="both"/>
        <w:rPr>
          <w:sz w:val="24"/>
          <w:szCs w:val="24"/>
        </w:rPr>
      </w:pPr>
      <w:r w:rsidRPr="00831769">
        <w:rPr>
          <w:sz w:val="24"/>
          <w:szCs w:val="24"/>
        </w:rPr>
        <w:t>postanowienia o sprawdzeniu wartości przedmiotu sporu.</w:t>
      </w:r>
    </w:p>
    <w:p w:rsidR="00D23B76" w:rsidRPr="00831769" w:rsidRDefault="00D23B76" w:rsidP="00831769">
      <w:pPr>
        <w:pStyle w:val="Teksttreci60"/>
        <w:shd w:val="clear" w:color="auto" w:fill="auto"/>
        <w:tabs>
          <w:tab w:val="left" w:leader="dot" w:pos="3805"/>
        </w:tabs>
        <w:spacing w:after="120" w:line="360" w:lineRule="auto"/>
        <w:ind w:left="993"/>
        <w:jc w:val="both"/>
        <w:rPr>
          <w:sz w:val="24"/>
          <w:szCs w:val="24"/>
        </w:rPr>
      </w:pPr>
    </w:p>
    <w:p w:rsidR="00D23B76" w:rsidRPr="00831769" w:rsidRDefault="00D23B76" w:rsidP="00831769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ZALECENIA W SPRAWIE PRAKTYK PO 12 ZJEŹDZIE</w:t>
      </w:r>
    </w:p>
    <w:p w:rsidR="00D23B76" w:rsidRPr="00831769" w:rsidRDefault="00D23B76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Przedmiot zjazdu:</w:t>
      </w:r>
      <w:r w:rsidRPr="00831769">
        <w:rPr>
          <w:rFonts w:ascii="Times New Roman" w:hAnsi="Times New Roman" w:cs="Times New Roman"/>
          <w:sz w:val="24"/>
          <w:szCs w:val="24"/>
        </w:rPr>
        <w:t xml:space="preserve"> prawo wekslowe, postępowanie nakazowe, upominawcze, uproszczone, doręczenia transgraniczne</w:t>
      </w:r>
    </w:p>
    <w:p w:rsidR="00D23B76" w:rsidRPr="00831769" w:rsidRDefault="00D23B76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zagadnieniom, w zakres których wchodzą: </w:t>
      </w:r>
    </w:p>
    <w:p w:rsidR="00D23B76" w:rsidRPr="00831769" w:rsidRDefault="00D23B76" w:rsidP="00831769">
      <w:pPr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prawo wekslowe, w tym: elementy weksla, odpowiedzialność wekslowa, poręczenie, zagadnienia weksla in blanco, wypełnienie deklaracji wekslowej, przeniesienie praw z weksla, zarzuty, jakie mogą być podniesione przez zobowiązanych z weksla, nieważność weksla, zarzuty co do stosunku podstawowego;  </w:t>
      </w:r>
    </w:p>
    <w:p w:rsidR="00D23B76" w:rsidRPr="00831769" w:rsidRDefault="00D23B76" w:rsidP="00831769">
      <w:pPr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przedawnienie i zarzut przedawnienia, zagadnienie wymagalności roszczenia;</w:t>
      </w:r>
    </w:p>
    <w:p w:rsidR="00D23B76" w:rsidRPr="00831769" w:rsidRDefault="00D23B76" w:rsidP="00831769">
      <w:pPr>
        <w:numPr>
          <w:ilvl w:val="0"/>
          <w:numId w:val="1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 wielość dłużników i wierzycieli.</w:t>
      </w:r>
    </w:p>
    <w:p w:rsidR="00D23B76" w:rsidRPr="00831769" w:rsidRDefault="00D23B76" w:rsidP="00831769">
      <w:pPr>
        <w:spacing w:before="80" w:after="8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3B76" w:rsidRPr="00831769" w:rsidRDefault="00D23B76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D23B76" w:rsidRPr="00831769" w:rsidRDefault="00D23B76" w:rsidP="00831769">
      <w:pPr>
        <w:numPr>
          <w:ilvl w:val="0"/>
          <w:numId w:val="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lastRenderedPageBreak/>
        <w:t>przesłanki skierowania sprawy do postępowań odrębnych (nakazowego, upominawczego, uproszczonego), w tym badanie pozwu pod kątem skierowania sprawy do tych postępowań:</w:t>
      </w:r>
    </w:p>
    <w:p w:rsidR="00D23B76" w:rsidRPr="00831769" w:rsidRDefault="00D23B76" w:rsidP="00831769">
      <w:pPr>
        <w:numPr>
          <w:ilvl w:val="0"/>
          <w:numId w:val="3"/>
        </w:numPr>
        <w:overflowPunct w:val="0"/>
        <w:spacing w:before="80" w:after="80" w:line="360" w:lineRule="auto"/>
        <w:ind w:left="714" w:hanging="357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831769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przesłanki pozwalające na prowadzenie sprawy w </w:t>
      </w:r>
      <w:r w:rsidRPr="00831769">
        <w:rPr>
          <w:rFonts w:ascii="Times New Roman" w:hAnsi="Times New Roman" w:cs="Times New Roman"/>
          <w:sz w:val="24"/>
          <w:szCs w:val="24"/>
        </w:rPr>
        <w:t>elektronicznym postępowaniu upominawczym;</w:t>
      </w:r>
    </w:p>
    <w:p w:rsidR="00D23B76" w:rsidRPr="00831769" w:rsidRDefault="00D23B76" w:rsidP="00831769">
      <w:pPr>
        <w:numPr>
          <w:ilvl w:val="0"/>
          <w:numId w:val="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specyfika postępowania nakazowego i upominawczego, w tym: podstawy do wydania nakazu zapłaty w postępowaniu nakazowym i podstawy do wydania nakazu zapłaty w postępowaniu upominawczym (różnice w tym zakresie), dokumenty stanowiące podstawę wydania nakazu zapłaty (w szczególności weksel), nakaz zapłaty w postępowaniu nakazowym jako tytuł zabezpieczenia, prawidłowe doręczenie nakazu zapłaty i środki obrony pozwanego w razie nieprawidłowego doręczenia, wniosek o wstrzymanie wykonalności nakazu zapłaty, zarzuty od nakazu zapłaty w postępowaniu nakazowym oraz sprzeciw od nakazu w postępowaniu upominawczym – sposób i termin ich wniesienia, postępowanie sądowe po wniesieniu zarzutów lub sprzeciwu i rozstrzygnięcie sądu w tym zakresie, zakres zarzutów, ciężar dowodu, koszty postępowania;</w:t>
      </w:r>
    </w:p>
    <w:p w:rsidR="00D23B76" w:rsidRPr="00831769" w:rsidRDefault="00D23B76" w:rsidP="00831769">
      <w:pPr>
        <w:numPr>
          <w:ilvl w:val="0"/>
          <w:numId w:val="3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specyfika postępowania uproszczonego: rodzaje spraw rozpoznawanych w tym postępowaniu, kumulacja i rozdrobnienie roszczeń w postępowaniu uproszczonym, postępowanie dowodowe, warunki wniesienia powództwa wzajemnego oraz podniesienia zarzutu potrącenia, postępowanie apelacyjne w postępowaniu uproszczonym – jego odmienność.</w:t>
      </w:r>
    </w:p>
    <w:p w:rsidR="00D23B76" w:rsidRPr="00831769" w:rsidRDefault="00D23B76" w:rsidP="00831769">
      <w:pPr>
        <w:spacing w:before="80" w:after="8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23B76" w:rsidRPr="00831769" w:rsidRDefault="00D23B76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69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D23B76" w:rsidRPr="00831769" w:rsidRDefault="00D23B76" w:rsidP="00831769">
      <w:pPr>
        <w:pStyle w:val="Akapitzlist"/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sporządzenie co najmniej dwóch projektów </w:t>
      </w:r>
      <w:r w:rsidRPr="00831769">
        <w:rPr>
          <w:rFonts w:ascii="Times New Roman" w:hAnsi="Times New Roman" w:cs="Times New Roman"/>
          <w:sz w:val="24"/>
          <w:szCs w:val="24"/>
          <w:lang w:val="pl"/>
        </w:rPr>
        <w:t>wyroku wraz z rozstrzygnięciem o kosztach postępowania i uzasadnieniem</w:t>
      </w:r>
      <w:r w:rsidR="0054664D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54664D">
        <w:rPr>
          <w:rFonts w:ascii="Times New Roman" w:hAnsi="Times New Roman" w:cs="Times New Roman"/>
          <w:sz w:val="24"/>
          <w:szCs w:val="24"/>
        </w:rPr>
        <w:t>(i zarządzeniami)</w:t>
      </w:r>
      <w:r w:rsidRPr="00831769">
        <w:rPr>
          <w:rFonts w:ascii="Times New Roman" w:hAnsi="Times New Roman" w:cs="Times New Roman"/>
          <w:sz w:val="24"/>
          <w:szCs w:val="24"/>
          <w:lang w:val="pl"/>
        </w:rPr>
        <w:t>:</w:t>
      </w:r>
    </w:p>
    <w:p w:rsidR="00D23B76" w:rsidRPr="00831769" w:rsidRDefault="00D23B76" w:rsidP="00831769">
      <w:pPr>
        <w:pStyle w:val="Akapitzlist"/>
        <w:numPr>
          <w:ilvl w:val="0"/>
          <w:numId w:val="29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  <w:lang w:val="pl"/>
        </w:rPr>
        <w:t>po rozpoznaniu zarzutów od nakazu zapłaty w postępowaniu nakazowym;</w:t>
      </w:r>
    </w:p>
    <w:p w:rsidR="00D23B76" w:rsidRPr="00831769" w:rsidRDefault="00D23B76" w:rsidP="00831769">
      <w:pPr>
        <w:pStyle w:val="Akapitzlist"/>
        <w:numPr>
          <w:ilvl w:val="0"/>
          <w:numId w:val="29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  <w:lang w:val="pl"/>
        </w:rPr>
        <w:t>po wniesieniu</w:t>
      </w:r>
      <w:r w:rsidRPr="00831769">
        <w:rPr>
          <w:rFonts w:ascii="Times New Roman" w:hAnsi="Times New Roman" w:cs="Times New Roman"/>
          <w:color w:val="FF0000"/>
          <w:sz w:val="24"/>
          <w:szCs w:val="24"/>
          <w:lang w:val="pl"/>
        </w:rPr>
        <w:t xml:space="preserve"> </w:t>
      </w:r>
      <w:r w:rsidRPr="00831769">
        <w:rPr>
          <w:rFonts w:ascii="Times New Roman" w:hAnsi="Times New Roman" w:cs="Times New Roman"/>
          <w:sz w:val="24"/>
          <w:szCs w:val="24"/>
          <w:lang w:val="pl"/>
        </w:rPr>
        <w:t>sprzeciwu od nakazu zapłaty w postępowaniu upominawczym;</w:t>
      </w:r>
    </w:p>
    <w:p w:rsidR="00D23B76" w:rsidRPr="00831769" w:rsidRDefault="00D23B76" w:rsidP="00831769">
      <w:pPr>
        <w:pStyle w:val="Akapitzlist"/>
        <w:numPr>
          <w:ilvl w:val="0"/>
          <w:numId w:val="19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 oraz projektów uzasadnień (jeżeli podlegają uzasadnieniu): </w:t>
      </w:r>
    </w:p>
    <w:p w:rsidR="00D23B76" w:rsidRPr="00831769" w:rsidRDefault="00D23B76" w:rsidP="00831769">
      <w:pPr>
        <w:pStyle w:val="Akapitzlist"/>
        <w:numPr>
          <w:ilvl w:val="0"/>
          <w:numId w:val="20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zarządzenia wzywającego do uzupełnienia braków formalnych i fiskalnych pozwu w postępowaniu nakazowym, upominawczym i uproszczonym; </w:t>
      </w:r>
    </w:p>
    <w:p w:rsidR="00D23B76" w:rsidRPr="00831769" w:rsidRDefault="00D23B76" w:rsidP="00831769">
      <w:pPr>
        <w:pStyle w:val="Akapitzlist"/>
        <w:numPr>
          <w:ilvl w:val="0"/>
          <w:numId w:val="20"/>
        </w:numPr>
        <w:spacing w:before="80" w:after="80"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lastRenderedPageBreak/>
        <w:t>nakazu zapłaty w postępowaniu nakazowym i upominawczym wraz z zarządzeniami do wydanych nakazów zapłaty;</w:t>
      </w:r>
    </w:p>
    <w:p w:rsidR="00D23B76" w:rsidRPr="00831769" w:rsidRDefault="00D23B76" w:rsidP="00831769">
      <w:pPr>
        <w:pStyle w:val="Akapitzlist"/>
        <w:numPr>
          <w:ilvl w:val="0"/>
          <w:numId w:val="20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decyzji w zakresie braku podstaw do rozpoznania sprawy w postępowaniu nakazowym, upominawczym i uproszczonym, w tym przekazania sprawy do odrębnego trybu;</w:t>
      </w:r>
    </w:p>
    <w:p w:rsidR="00D23B76" w:rsidRPr="00831769" w:rsidRDefault="00D23B76" w:rsidP="00831769">
      <w:pPr>
        <w:pStyle w:val="Akapitzlist"/>
        <w:numPr>
          <w:ilvl w:val="0"/>
          <w:numId w:val="20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zarządzeń wydawanych po wniesieniu zarzutów od nakazu zapłaty w postępowaniu nakazowym i sprzeciwu od nakazu zapłaty w postępowaniu upominawczym;</w:t>
      </w:r>
    </w:p>
    <w:p w:rsidR="00D23B76" w:rsidRPr="00831769" w:rsidRDefault="00D23B76" w:rsidP="00831769">
      <w:pPr>
        <w:pStyle w:val="Akapitzlist"/>
        <w:numPr>
          <w:ilvl w:val="0"/>
          <w:numId w:val="20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postanowienia o wstrzymaniu wykonalności nakazu zapłaty w postępowaniu nakazowym;</w:t>
      </w:r>
    </w:p>
    <w:p w:rsidR="00D23B76" w:rsidRDefault="00D23B76" w:rsidP="00831769">
      <w:pPr>
        <w:pStyle w:val="Akapitzlist"/>
        <w:numPr>
          <w:ilvl w:val="0"/>
          <w:numId w:val="20"/>
        </w:numPr>
        <w:spacing w:before="80" w:after="80" w:line="360" w:lineRule="auto"/>
        <w:ind w:left="1135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postanowienia w przedmiocie odrzucenia sprzeciwu lub zarzutów od nakazu zapłaty wraz z uzasadnieniem.</w:t>
      </w:r>
    </w:p>
    <w:p w:rsidR="005D6DF7" w:rsidRPr="00831769" w:rsidRDefault="005D6DF7" w:rsidP="005D6DF7">
      <w:pPr>
        <w:pStyle w:val="Akapitzlist"/>
        <w:spacing w:before="80" w:after="80" w:line="360" w:lineRule="auto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:rsidR="00982F8D" w:rsidRPr="00831769" w:rsidRDefault="00982F8D" w:rsidP="00831769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ZALECENIA W SPRAWIE PRAKTYK PO 13 ZJEŹDZIE</w:t>
      </w:r>
    </w:p>
    <w:p w:rsidR="00982F8D" w:rsidRPr="00831769" w:rsidRDefault="00982F8D" w:rsidP="0083176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 xml:space="preserve">Przedmiot zjazdu: </w:t>
      </w:r>
      <w:r w:rsidRPr="00831769">
        <w:rPr>
          <w:rFonts w:ascii="Times New Roman" w:hAnsi="Times New Roman" w:cs="Times New Roman"/>
          <w:sz w:val="24"/>
          <w:szCs w:val="24"/>
        </w:rPr>
        <w:t>zobowiązania. czynności po skutecznym wniesieniu pozwu, postępowanie dowodowe.</w:t>
      </w:r>
    </w:p>
    <w:p w:rsidR="00982F8D" w:rsidRPr="00831769" w:rsidRDefault="00982F8D" w:rsidP="00831769">
      <w:pPr>
        <w:spacing w:before="80" w:after="8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eastAsia="Calibri" w:hAnsi="Times New Roman" w:cs="Times New Roman"/>
          <w:b/>
          <w:sz w:val="24"/>
          <w:szCs w:val="24"/>
        </w:rPr>
        <w:t>prawa materialnego</w:t>
      </w: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 należy szczególną uwagę poświęcić następującym zagadnieniom:</w:t>
      </w:r>
    </w:p>
    <w:p w:rsidR="00982F8D" w:rsidRPr="00831769" w:rsidRDefault="00982F8D" w:rsidP="00831769">
      <w:pPr>
        <w:numPr>
          <w:ilvl w:val="0"/>
          <w:numId w:val="34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wykonanie, niewykonanie oraz nienależyte wykonanie zobowiązania, zwłoka wierzyciela i dłużnika;</w:t>
      </w:r>
    </w:p>
    <w:p w:rsidR="00982F8D" w:rsidRPr="00831769" w:rsidRDefault="00982F8D" w:rsidP="00831769">
      <w:pPr>
        <w:numPr>
          <w:ilvl w:val="0"/>
          <w:numId w:val="34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odstąpienie od umowy, umowne prawa odstąpienia, odstępne, kara umowna, odsetki za opóźnienie, zakaz anatocyzmu, zadatek;</w:t>
      </w:r>
    </w:p>
    <w:p w:rsidR="00982F8D" w:rsidRPr="00831769" w:rsidRDefault="00982F8D" w:rsidP="00831769">
      <w:pPr>
        <w:numPr>
          <w:ilvl w:val="0"/>
          <w:numId w:val="34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prawidłowa kwalifikacja umów; </w:t>
      </w:r>
    </w:p>
    <w:p w:rsidR="00982F8D" w:rsidRPr="00831769" w:rsidRDefault="00982F8D" w:rsidP="00831769">
      <w:pPr>
        <w:numPr>
          <w:ilvl w:val="0"/>
          <w:numId w:val="34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szczegółowe zagadnienia powstające na gruncie um</w:t>
      </w:r>
      <w:r w:rsidR="00377E27" w:rsidRPr="00831769">
        <w:rPr>
          <w:rFonts w:ascii="Times New Roman" w:eastAsia="Calibri" w:hAnsi="Times New Roman" w:cs="Times New Roman"/>
          <w:sz w:val="24"/>
          <w:szCs w:val="24"/>
        </w:rPr>
        <w:t>owy</w:t>
      </w: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 o dzieło, umowy zlecenia; </w:t>
      </w:r>
    </w:p>
    <w:p w:rsidR="00377E27" w:rsidRPr="00831769" w:rsidRDefault="00377E27" w:rsidP="00831769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bezskuteczność czynności prawnej, w tym instytucja  z art. 59 k.c. i skarga </w:t>
      </w:r>
      <w:proofErr w:type="spellStart"/>
      <w:r w:rsidRPr="00831769">
        <w:rPr>
          <w:rFonts w:ascii="Times New Roman" w:eastAsia="Calibri" w:hAnsi="Times New Roman" w:cs="Times New Roman"/>
          <w:sz w:val="24"/>
          <w:szCs w:val="24"/>
        </w:rPr>
        <w:t>pauliańska</w:t>
      </w:r>
      <w:proofErr w:type="spellEnd"/>
      <w:r w:rsidRPr="008317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2F8D" w:rsidRPr="00831769" w:rsidRDefault="00982F8D" w:rsidP="00831769">
      <w:pPr>
        <w:numPr>
          <w:ilvl w:val="0"/>
          <w:numId w:val="34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pojęcie szkody – na tle odpowiedzialności kontraktowej, zasady ustalania wysokości szkody; związek przyczynowy – na tle odpowiedzialności kontraktowej</w:t>
      </w:r>
      <w:r w:rsidR="00377E27" w:rsidRPr="00831769">
        <w:rPr>
          <w:rFonts w:ascii="Times New Roman" w:eastAsia="Calibri" w:hAnsi="Times New Roman" w:cs="Times New Roman"/>
          <w:sz w:val="24"/>
          <w:szCs w:val="24"/>
        </w:rPr>
        <w:t>; pojęcie przyczynowości alternatywnej, hipotetycznej</w:t>
      </w:r>
      <w:r w:rsidRPr="0083176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2F8D" w:rsidRPr="00831769" w:rsidRDefault="00982F8D" w:rsidP="00831769">
      <w:pPr>
        <w:numPr>
          <w:ilvl w:val="0"/>
          <w:numId w:val="34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przyczynienie się poszkodowanego do powstania szkody – na tle odpowiedzialności kontraktowej; sposób naprawienia szkody;</w:t>
      </w:r>
    </w:p>
    <w:p w:rsidR="00377E27" w:rsidRPr="00831769" w:rsidRDefault="00377E27" w:rsidP="00831769">
      <w:pPr>
        <w:numPr>
          <w:ilvl w:val="0"/>
          <w:numId w:val="34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przedawnienie roszczeń a terminy zawite;</w:t>
      </w:r>
    </w:p>
    <w:p w:rsidR="00377E27" w:rsidRPr="00831769" w:rsidRDefault="00377E27" w:rsidP="00831769">
      <w:pPr>
        <w:numPr>
          <w:ilvl w:val="0"/>
          <w:numId w:val="34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potrącenie (zarzut materialnoprawny a procesowy).</w:t>
      </w:r>
    </w:p>
    <w:p w:rsidR="00982F8D" w:rsidRPr="00831769" w:rsidRDefault="00982F8D" w:rsidP="00831769">
      <w:pPr>
        <w:spacing w:before="80" w:after="8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F8D" w:rsidRPr="00831769" w:rsidRDefault="00982F8D" w:rsidP="00831769">
      <w:pPr>
        <w:spacing w:before="80" w:after="8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zakresie </w:t>
      </w:r>
      <w:r w:rsidRPr="00831769">
        <w:rPr>
          <w:rFonts w:ascii="Times New Roman" w:eastAsia="Calibri" w:hAnsi="Times New Roman" w:cs="Times New Roman"/>
          <w:b/>
          <w:sz w:val="24"/>
          <w:szCs w:val="24"/>
        </w:rPr>
        <w:t>prawa procesowego</w:t>
      </w: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172602" w:rsidRPr="00831769" w:rsidRDefault="00172602" w:rsidP="00831769">
      <w:pPr>
        <w:pStyle w:val="Akapitzlist"/>
        <w:numPr>
          <w:ilvl w:val="0"/>
          <w:numId w:val="31"/>
        </w:numPr>
        <w:spacing w:before="80"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wymianę pism procesowych lub wyznaczenie posiedzenia przygotowawczego, pouczenia procesowe;</w:t>
      </w:r>
    </w:p>
    <w:p w:rsidR="002C393B" w:rsidRPr="00831769" w:rsidRDefault="002C393B" w:rsidP="00831769">
      <w:pPr>
        <w:numPr>
          <w:ilvl w:val="0"/>
          <w:numId w:val="31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wydawanie zarządzeń na podstawie art. 208 k.p.c. oraz innych zarządzeń dowodowych przed wyznaczeniem rozprawy;</w:t>
      </w:r>
    </w:p>
    <w:p w:rsidR="00172602" w:rsidRPr="00831769" w:rsidRDefault="002C393B" w:rsidP="00831769">
      <w:pPr>
        <w:numPr>
          <w:ilvl w:val="0"/>
          <w:numId w:val="31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co do zakresu i potrzeby prowadzenia postępowania dowodowego (art. 227 k.p.c., art. 235</w:t>
      </w:r>
      <w:r w:rsidRPr="008317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k.p.c., art. 236 k.p.c. i art. 243</w:t>
      </w:r>
      <w:r w:rsidRPr="008317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k.p.c.)</w:t>
      </w:r>
      <w:r w:rsidR="00172602"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formułowanie postanowień dowodowych (w szczególności pominięcie dowodu); </w:t>
      </w:r>
    </w:p>
    <w:p w:rsidR="002C393B" w:rsidRPr="00831769" w:rsidRDefault="00172602" w:rsidP="00831769">
      <w:pPr>
        <w:numPr>
          <w:ilvl w:val="0"/>
          <w:numId w:val="31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przesłuchania świadków i stron; prekluzj</w:t>
      </w:r>
      <w:r w:rsidR="005E1A29"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dowodow</w:t>
      </w:r>
      <w:r w:rsidR="00C04EBF"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72602" w:rsidRPr="00831769" w:rsidRDefault="00172602" w:rsidP="00831769">
      <w:pPr>
        <w:numPr>
          <w:ilvl w:val="0"/>
          <w:numId w:val="31"/>
        </w:numPr>
        <w:spacing w:before="80" w:after="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sądow</w:t>
      </w:r>
      <w:r w:rsidR="00C04EBF"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sprawach cywilnych; odezwy sądowe; przesłuchanie na piśmie.</w:t>
      </w:r>
    </w:p>
    <w:p w:rsidR="00982F8D" w:rsidRPr="00831769" w:rsidRDefault="00982F8D" w:rsidP="00831769">
      <w:pPr>
        <w:spacing w:before="80"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2F8D" w:rsidRPr="00831769" w:rsidRDefault="00982F8D" w:rsidP="00831769">
      <w:pPr>
        <w:spacing w:before="80" w:after="8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769">
        <w:rPr>
          <w:rFonts w:ascii="Times New Roman" w:eastAsia="Calibri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982F8D" w:rsidRPr="00831769" w:rsidRDefault="00982F8D" w:rsidP="00831769">
      <w:pPr>
        <w:numPr>
          <w:ilvl w:val="0"/>
          <w:numId w:val="3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sporządzenie co najmniej trzech różnych projektów wyroków wraz z uzasadnieniem </w:t>
      </w:r>
      <w:r w:rsidR="0054664D">
        <w:rPr>
          <w:rFonts w:ascii="Times New Roman" w:hAnsi="Times New Roman" w:cs="Times New Roman"/>
          <w:sz w:val="24"/>
          <w:szCs w:val="24"/>
        </w:rPr>
        <w:t xml:space="preserve">(i zarządzeniami) </w:t>
      </w:r>
      <w:r w:rsidRPr="00831769">
        <w:rPr>
          <w:rFonts w:ascii="Times New Roman" w:eastAsia="Calibri" w:hAnsi="Times New Roman" w:cs="Times New Roman"/>
          <w:sz w:val="24"/>
          <w:szCs w:val="24"/>
        </w:rPr>
        <w:t>z tematyki prawa materialnego wskazanej powyżej;</w:t>
      </w:r>
    </w:p>
    <w:p w:rsidR="00982F8D" w:rsidRPr="00831769" w:rsidRDefault="00982F8D" w:rsidP="00831769">
      <w:pPr>
        <w:numPr>
          <w:ilvl w:val="0"/>
          <w:numId w:val="3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sporządzenie projektów następujących decyzji procesowych oraz projektów uzasadnień (w przypadku jeżeli podlegają uzasadnieniu): </w:t>
      </w:r>
    </w:p>
    <w:p w:rsidR="00982F8D" w:rsidRPr="00831769" w:rsidRDefault="00982F8D" w:rsidP="00831769">
      <w:pPr>
        <w:numPr>
          <w:ilvl w:val="0"/>
          <w:numId w:val="3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zarządzenia o wymianie przez strony pism </w:t>
      </w:r>
      <w:r w:rsidR="002C24FD" w:rsidRPr="00831769">
        <w:rPr>
          <w:rFonts w:ascii="Times New Roman" w:eastAsia="Calibri" w:hAnsi="Times New Roman" w:cs="Times New Roman"/>
          <w:sz w:val="24"/>
          <w:szCs w:val="24"/>
        </w:rPr>
        <w:t>procesowych</w:t>
      </w:r>
      <w:r w:rsidRPr="00831769">
        <w:rPr>
          <w:rFonts w:ascii="Times New Roman" w:eastAsia="Calibri" w:hAnsi="Times New Roman" w:cs="Times New Roman"/>
          <w:sz w:val="24"/>
          <w:szCs w:val="24"/>
        </w:rPr>
        <w:t>, z oznaczeniem porządku składania pism, terminów, w których pisma należy złożyć, i okoliczności, które mają być wyjaśnione;</w:t>
      </w:r>
    </w:p>
    <w:p w:rsidR="00982F8D" w:rsidRPr="00831769" w:rsidRDefault="00982F8D" w:rsidP="00831769">
      <w:pPr>
        <w:numPr>
          <w:ilvl w:val="0"/>
          <w:numId w:val="3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zarządzenia o wyznaczeniu posiedzenia przygotowawczego; </w:t>
      </w:r>
    </w:p>
    <w:p w:rsidR="00982F8D" w:rsidRPr="00831769" w:rsidRDefault="00982F8D" w:rsidP="00831769">
      <w:pPr>
        <w:numPr>
          <w:ilvl w:val="0"/>
          <w:numId w:val="3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zarządzenia wydawanego w celu przygotowania rozprawy w sprawach z tematyki objętej zjazdem;</w:t>
      </w:r>
    </w:p>
    <w:p w:rsidR="00C04EBF" w:rsidRPr="00831769" w:rsidRDefault="004224D8" w:rsidP="00831769">
      <w:pPr>
        <w:pStyle w:val="Akapitzlist"/>
        <w:numPr>
          <w:ilvl w:val="0"/>
          <w:numId w:val="33"/>
        </w:numPr>
        <w:tabs>
          <w:tab w:val="left" w:pos="993"/>
        </w:tabs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zarządzeń z 208 k.p.c. oraz innych zarządzeń dowodowych przed wyznaczeniem rozprawy</w:t>
      </w:r>
      <w:r w:rsidR="00C04EBF" w:rsidRPr="0083176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04EBF" w:rsidRPr="00831769" w:rsidRDefault="00C04EBF" w:rsidP="00831769">
      <w:pPr>
        <w:pStyle w:val="Akapitzlist"/>
        <w:numPr>
          <w:ilvl w:val="0"/>
          <w:numId w:val="33"/>
        </w:numPr>
        <w:tabs>
          <w:tab w:val="left" w:pos="993"/>
        </w:tabs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postanowień wydawanych w oparciu o art. 235</w:t>
      </w:r>
      <w:r w:rsidRPr="008317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 k.p.c</w:t>
      </w:r>
      <w:r w:rsidR="002C24FD" w:rsidRPr="00831769">
        <w:rPr>
          <w:rFonts w:ascii="Times New Roman" w:eastAsia="Calibri" w:hAnsi="Times New Roman" w:cs="Times New Roman"/>
          <w:sz w:val="24"/>
          <w:szCs w:val="24"/>
        </w:rPr>
        <w:t>.,</w:t>
      </w: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 art. 236 k.p.c.</w:t>
      </w:r>
      <w:r w:rsidR="002C24FD" w:rsidRPr="00831769">
        <w:rPr>
          <w:rFonts w:ascii="Times New Roman" w:eastAsia="Calibri" w:hAnsi="Times New Roman" w:cs="Times New Roman"/>
          <w:sz w:val="24"/>
          <w:szCs w:val="24"/>
        </w:rPr>
        <w:t xml:space="preserve"> i art. 243</w:t>
      </w:r>
      <w:r w:rsidR="002C24FD" w:rsidRPr="0083176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2C24FD" w:rsidRPr="00831769">
        <w:rPr>
          <w:rFonts w:ascii="Times New Roman" w:eastAsia="Calibri" w:hAnsi="Times New Roman" w:cs="Times New Roman"/>
          <w:sz w:val="24"/>
          <w:szCs w:val="24"/>
        </w:rPr>
        <w:t xml:space="preserve"> k.p.c.</w:t>
      </w:r>
      <w:r w:rsidR="004A50A0" w:rsidRPr="00831769">
        <w:rPr>
          <w:rFonts w:ascii="Times New Roman" w:eastAsia="Calibri" w:hAnsi="Times New Roman" w:cs="Times New Roman"/>
          <w:sz w:val="24"/>
          <w:szCs w:val="24"/>
        </w:rPr>
        <w:t>, w szczególności co do pominięcia dowodu;</w:t>
      </w:r>
    </w:p>
    <w:p w:rsidR="00982F8D" w:rsidRPr="00831769" w:rsidRDefault="00C04EBF" w:rsidP="00831769">
      <w:pPr>
        <w:pStyle w:val="Akapitzlist"/>
        <w:numPr>
          <w:ilvl w:val="0"/>
          <w:numId w:val="33"/>
        </w:numPr>
        <w:spacing w:before="80"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odezwy o udzielenie pomocy sądowej (</w:t>
      </w:r>
      <w:r w:rsidR="002C24FD" w:rsidRPr="00831769">
        <w:rPr>
          <w:rFonts w:ascii="Times New Roman" w:eastAsia="Calibri" w:hAnsi="Times New Roman" w:cs="Times New Roman"/>
          <w:sz w:val="24"/>
          <w:szCs w:val="24"/>
        </w:rPr>
        <w:t>doręczenie pism sądowych,</w:t>
      </w:r>
      <w:r w:rsidR="002C24FD" w:rsidRPr="00831769">
        <w:rPr>
          <w:rFonts w:ascii="Times New Roman" w:hAnsi="Times New Roman" w:cs="Times New Roman"/>
          <w:sz w:val="24"/>
          <w:szCs w:val="24"/>
        </w:rPr>
        <w:t xml:space="preserve"> </w:t>
      </w:r>
      <w:r w:rsidRPr="00831769">
        <w:rPr>
          <w:rFonts w:ascii="Times New Roman" w:hAnsi="Times New Roman" w:cs="Times New Roman"/>
          <w:sz w:val="24"/>
          <w:szCs w:val="24"/>
        </w:rPr>
        <w:t>przesłuchanie świadka, strony, ewentualnie przeprowadzenie innych dowodów)</w:t>
      </w:r>
      <w:r w:rsidR="00982F8D" w:rsidRPr="0083176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5106A" w:rsidRDefault="0015106A" w:rsidP="00831769">
      <w:pPr>
        <w:pStyle w:val="Akapitzlist"/>
        <w:spacing w:before="80" w:after="8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4664D" w:rsidRPr="00831769" w:rsidRDefault="0054664D" w:rsidP="00831769">
      <w:pPr>
        <w:pStyle w:val="Akapitzlist"/>
        <w:spacing w:before="80" w:after="80"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5106A" w:rsidRPr="00831769" w:rsidRDefault="0015106A" w:rsidP="00831769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ZALECENIA W SPRAWIE PRAKTYK PO 14 ZJEŹDZIE</w:t>
      </w:r>
    </w:p>
    <w:p w:rsidR="0015106A" w:rsidRPr="00831769" w:rsidRDefault="0015106A" w:rsidP="00831769">
      <w:pPr>
        <w:pStyle w:val="Teksttreci60"/>
        <w:tabs>
          <w:tab w:val="left" w:leader="dot" w:pos="3805"/>
        </w:tabs>
        <w:spacing w:after="120" w:line="360" w:lineRule="auto"/>
        <w:ind w:left="426" w:firstLine="708"/>
        <w:jc w:val="both"/>
        <w:rPr>
          <w:sz w:val="24"/>
          <w:szCs w:val="24"/>
        </w:rPr>
      </w:pPr>
      <w:r w:rsidRPr="00831769">
        <w:rPr>
          <w:b/>
          <w:sz w:val="24"/>
          <w:szCs w:val="24"/>
        </w:rPr>
        <w:t>Przedmiot zjazdu:</w:t>
      </w:r>
      <w:r w:rsidRPr="00831769">
        <w:rPr>
          <w:sz w:val="24"/>
          <w:szCs w:val="24"/>
        </w:rPr>
        <w:t xml:space="preserve"> umowy, ochrona konsumenta, plan rozprawy, pomoc sądowa z elementem transgranicznym</w:t>
      </w:r>
    </w:p>
    <w:p w:rsidR="0015106A" w:rsidRPr="00831769" w:rsidRDefault="0015106A" w:rsidP="00831769">
      <w:pPr>
        <w:pStyle w:val="Akapitzlist"/>
        <w:spacing w:before="80" w:after="8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 takim, jak:</w:t>
      </w:r>
    </w:p>
    <w:p w:rsidR="0015106A" w:rsidRPr="00831769" w:rsidRDefault="0015106A" w:rsidP="00831769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istotne umowy i skutek ich braku;</w:t>
      </w:r>
    </w:p>
    <w:p w:rsidR="0015106A" w:rsidRPr="00831769" w:rsidRDefault="0015106A" w:rsidP="00831769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sprzedaży (elementy istotne umowy sprzedaży, sprzedaż konsumencka, sprzedaż na odległość, szczególne rodzaje sprzedaży, rękojmia za wady, uprawnienia kupującego, gwarancja przy sprzedaży, zbieg uprawnień z rękojmi za wady i gwarancji, roszczenia sprzedawcy);</w:t>
      </w:r>
    </w:p>
    <w:p w:rsidR="0015106A" w:rsidRPr="00831769" w:rsidRDefault="0015106A" w:rsidP="00831769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ubezpieczenia (ubezpieczenia majątkowe – przedmiot ubezpieczenia, zasady odpowiedzialności ubezpieczyciela, ubezpieczenia obowiązkowe – OC posiadaczy pojazdów, OC rolników, regres ubezpieczyciela, ubezpieczenia osobowe, tzw. </w:t>
      </w:r>
      <w:proofErr w:type="spellStart"/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polisolokaty</w:t>
      </w:r>
      <w:proofErr w:type="spellEnd"/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5106A" w:rsidRPr="00831769" w:rsidRDefault="0015106A" w:rsidP="00831769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umowa pożyczki (elementy istotne umowy, pożyczka a użyczenie);</w:t>
      </w:r>
    </w:p>
    <w:p w:rsidR="0015106A" w:rsidRPr="00831769" w:rsidRDefault="0015106A" w:rsidP="00831769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 udziałem konsumentów (pojęcie konsumenta, ochrona konsumenta, uprawnienia konsumenta z tytułu rękojmi, kredyt konsumencki, ochrona konsumentów w prawie unijnym, prawidłowa kwalifikacja umów);</w:t>
      </w:r>
    </w:p>
    <w:p w:rsidR="0015106A" w:rsidRPr="00831769" w:rsidRDefault="0015106A" w:rsidP="00831769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klauzule abuzywne, skutki stwierdzenia abuzywności klauzuli dla dalszego funkcjonowania umowy;</w:t>
      </w:r>
    </w:p>
    <w:p w:rsidR="0015106A" w:rsidRPr="00831769" w:rsidRDefault="0015106A" w:rsidP="00831769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przedawnienie roszczeń przysługujących przeciwko konsumentowi, zawieszenie i przerwanie biegu przedawnienia;</w:t>
      </w:r>
    </w:p>
    <w:p w:rsidR="0015106A" w:rsidRPr="00831769" w:rsidRDefault="0015106A" w:rsidP="00831769">
      <w:pPr>
        <w:numPr>
          <w:ilvl w:val="0"/>
          <w:numId w:val="6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roszczenia wynikające z ustawy o imprezach turystycznych i powiązanych usługach turystycznych np. odpowiedzialność organizatora turystyki za tzw. zmarnowany urlop.</w:t>
      </w:r>
    </w:p>
    <w:p w:rsidR="0015106A" w:rsidRPr="00831769" w:rsidRDefault="0015106A" w:rsidP="00831769">
      <w:pPr>
        <w:pStyle w:val="Akapitzlist"/>
        <w:spacing w:before="80" w:after="8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15106A" w:rsidRPr="00831769" w:rsidRDefault="0015106A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15106A" w:rsidRPr="00831769" w:rsidRDefault="0015106A" w:rsidP="00831769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posiedzenia przygotowawczego;</w:t>
      </w:r>
    </w:p>
    <w:p w:rsidR="0015106A" w:rsidRPr="00831769" w:rsidRDefault="0046231B" w:rsidP="00831769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</w:t>
      </w:r>
      <w:r w:rsidR="0015106A"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5106A"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rozprawy i jego zmiana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, zatwierdzanie planu rozprawy</w:t>
      </w:r>
      <w:r w:rsidR="0015106A"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106A" w:rsidRPr="00831769" w:rsidRDefault="0015106A" w:rsidP="00831769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decyzje co do zakresu i potrzeby prowadzenia postępowania dowodowego (art. 227 k.p.c., art. 235</w:t>
      </w:r>
      <w:r w:rsidRPr="008317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k.p.c. i art. 236 k.p.c.)</w:t>
      </w:r>
      <w:r w:rsidR="0046231B"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, zakreślanie ram postępowania dowodowego w planie rozprawy</w:t>
      </w: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5106A" w:rsidRPr="00831769" w:rsidRDefault="0015106A" w:rsidP="00831769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domniemania faktyczne i prawne, rozkład ciężaru dowodowego;</w:t>
      </w:r>
    </w:p>
    <w:p w:rsidR="0015106A" w:rsidRPr="00831769" w:rsidRDefault="0015106A" w:rsidP="00831769">
      <w:pPr>
        <w:numPr>
          <w:ilvl w:val="0"/>
          <w:numId w:val="7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przebiegiem posiedzenia, stosowanie kar porządkowych.   </w:t>
      </w:r>
    </w:p>
    <w:p w:rsidR="0015106A" w:rsidRPr="00831769" w:rsidRDefault="0015106A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06A" w:rsidRPr="00831769" w:rsidRDefault="0015106A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69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15106A" w:rsidRPr="00831769" w:rsidRDefault="0015106A" w:rsidP="00831769">
      <w:pPr>
        <w:pStyle w:val="Akapitzlist"/>
        <w:numPr>
          <w:ilvl w:val="0"/>
          <w:numId w:val="8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831769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54664D">
        <w:rPr>
          <w:rFonts w:ascii="Times New Roman" w:hAnsi="Times New Roman" w:cs="Times New Roman"/>
          <w:sz w:val="24"/>
          <w:szCs w:val="24"/>
        </w:rPr>
        <w:t>trzech</w:t>
      </w:r>
      <w:r w:rsidRPr="00831769">
        <w:rPr>
          <w:rFonts w:ascii="Times New Roman" w:hAnsi="Times New Roman" w:cs="Times New Roman"/>
          <w:sz w:val="24"/>
          <w:szCs w:val="24"/>
        </w:rPr>
        <w:t xml:space="preserve"> różnych projektów wyroków wraz z uzasadnieniem</w:t>
      </w:r>
      <w:r w:rsidR="00200526">
        <w:rPr>
          <w:rFonts w:ascii="Times New Roman" w:hAnsi="Times New Roman" w:cs="Times New Roman"/>
          <w:sz w:val="24"/>
          <w:szCs w:val="24"/>
        </w:rPr>
        <w:t xml:space="preserve"> (i zarządzeniami)</w:t>
      </w:r>
      <w:r w:rsidRPr="00831769">
        <w:rPr>
          <w:rFonts w:ascii="Times New Roman" w:hAnsi="Times New Roman" w:cs="Times New Roman"/>
          <w:sz w:val="24"/>
          <w:szCs w:val="24"/>
        </w:rPr>
        <w:t>, z tematyki prawa materialnego wskazanej powyżej, ze szczególnym uwzględnieniem spraw, w których przeprowadzono postępowanie dowodowe wymagające szerokiego omówienia w uzasadnieniu;</w:t>
      </w:r>
    </w:p>
    <w:p w:rsidR="00982F8D" w:rsidRPr="00831769" w:rsidRDefault="0015106A" w:rsidP="00831769">
      <w:pPr>
        <w:pStyle w:val="Akapitzlist"/>
        <w:numPr>
          <w:ilvl w:val="0"/>
          <w:numId w:val="8"/>
        </w:numPr>
        <w:spacing w:before="80" w:after="8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831769">
        <w:rPr>
          <w:rFonts w:ascii="Times New Roman" w:hAnsi="Times New Roman" w:cs="Times New Roman"/>
          <w:sz w:val="24"/>
          <w:szCs w:val="24"/>
        </w:rPr>
        <w:t xml:space="preserve"> </w:t>
      </w:r>
      <w:r w:rsidR="0054664D">
        <w:rPr>
          <w:rFonts w:ascii="Times New Roman" w:hAnsi="Times New Roman" w:cs="Times New Roman"/>
          <w:sz w:val="24"/>
          <w:szCs w:val="24"/>
        </w:rPr>
        <w:t xml:space="preserve">co najmniej jednego </w:t>
      </w:r>
      <w:r w:rsidRPr="00831769">
        <w:rPr>
          <w:rFonts w:ascii="Times New Roman" w:hAnsi="Times New Roman" w:cs="Times New Roman"/>
          <w:sz w:val="24"/>
          <w:szCs w:val="24"/>
        </w:rPr>
        <w:t>projekt</w:t>
      </w:r>
      <w:r w:rsidR="0046231B" w:rsidRPr="00831769">
        <w:rPr>
          <w:rFonts w:ascii="Times New Roman" w:hAnsi="Times New Roman" w:cs="Times New Roman"/>
          <w:sz w:val="24"/>
          <w:szCs w:val="24"/>
        </w:rPr>
        <w:t>u</w:t>
      </w:r>
      <w:r w:rsidRPr="00831769">
        <w:rPr>
          <w:rFonts w:ascii="Times New Roman" w:hAnsi="Times New Roman" w:cs="Times New Roman"/>
          <w:sz w:val="24"/>
          <w:szCs w:val="24"/>
        </w:rPr>
        <w:t xml:space="preserve"> </w:t>
      </w: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planu rozprawy, </w:t>
      </w:r>
      <w:r w:rsidR="0046231B" w:rsidRPr="00831769">
        <w:rPr>
          <w:rFonts w:ascii="Times New Roman" w:eastAsia="Calibri" w:hAnsi="Times New Roman" w:cs="Times New Roman"/>
          <w:sz w:val="24"/>
          <w:szCs w:val="24"/>
        </w:rPr>
        <w:t>zawierającego rozstrzygnięcia co do wniosków dowodowych stron oraz porządek przeprowadzanych na rozprawie dowodów, jak również  elementy fakultatywne wskazane w art. 205</w:t>
      </w:r>
      <w:r w:rsidR="0046231B" w:rsidRPr="00831769">
        <w:rPr>
          <w:rFonts w:ascii="Times New Roman" w:eastAsia="Calibri" w:hAnsi="Times New Roman" w:cs="Times New Roman"/>
          <w:sz w:val="24"/>
          <w:szCs w:val="24"/>
          <w:vertAlign w:val="superscript"/>
        </w:rPr>
        <w:t>9</w:t>
      </w:r>
      <w:r w:rsidR="0046231B" w:rsidRPr="00831769">
        <w:rPr>
          <w:rFonts w:ascii="Times New Roman" w:eastAsia="Calibri" w:hAnsi="Times New Roman" w:cs="Times New Roman"/>
          <w:sz w:val="24"/>
          <w:szCs w:val="24"/>
        </w:rPr>
        <w:t xml:space="preserve"> § 2 k.p.c.</w:t>
      </w:r>
    </w:p>
    <w:p w:rsidR="00056FC4" w:rsidRPr="0054664D" w:rsidRDefault="00056FC4" w:rsidP="0054664D">
      <w:pPr>
        <w:spacing w:before="80"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3541" w:rsidRPr="00831769" w:rsidRDefault="00C86EDB" w:rsidP="00831769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ZALECENIA W SPRAWIE PRAKTYK PO 15 ZJEŹDZIE.</w:t>
      </w:r>
    </w:p>
    <w:p w:rsidR="00C86EDB" w:rsidRPr="00831769" w:rsidRDefault="00C86EDB" w:rsidP="00831769">
      <w:pPr>
        <w:pStyle w:val="Teksttreci60"/>
        <w:tabs>
          <w:tab w:val="left" w:leader="dot" w:pos="3805"/>
        </w:tabs>
        <w:spacing w:after="120" w:line="360" w:lineRule="auto"/>
        <w:ind w:left="993"/>
        <w:jc w:val="both"/>
        <w:rPr>
          <w:sz w:val="24"/>
          <w:szCs w:val="24"/>
        </w:rPr>
      </w:pPr>
      <w:r w:rsidRPr="00831769">
        <w:rPr>
          <w:b/>
          <w:sz w:val="24"/>
          <w:szCs w:val="24"/>
        </w:rPr>
        <w:t>Przedmiot zjazdu:</w:t>
      </w:r>
      <w:r w:rsidRPr="00831769">
        <w:rPr>
          <w:sz w:val="24"/>
          <w:szCs w:val="24"/>
        </w:rPr>
        <w:t xml:space="preserve"> Prawo mieszkaniowe, księga wieczysta, postępowanie dowodowe cd.</w:t>
      </w:r>
    </w:p>
    <w:p w:rsidR="00162342" w:rsidRPr="00831769" w:rsidRDefault="00162342" w:rsidP="00831769">
      <w:pPr>
        <w:pStyle w:val="Akapitzlist"/>
        <w:spacing w:before="80" w:after="8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 takim, jak:</w:t>
      </w:r>
    </w:p>
    <w:p w:rsidR="00162342" w:rsidRPr="00831769" w:rsidRDefault="00162342" w:rsidP="00831769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najmu (prawa i obowiązki stron, terminy wypowiedzenia, najem lokali, ustawowe przesłanki eksmisji, prawo do lokalu socjalnego, wstąpienie w stosunek najmu);</w:t>
      </w:r>
    </w:p>
    <w:p w:rsidR="00162342" w:rsidRPr="00831769" w:rsidRDefault="00162342" w:rsidP="00831769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dzierżawy;</w:t>
      </w:r>
    </w:p>
    <w:p w:rsidR="00162342" w:rsidRPr="00831769" w:rsidRDefault="00162342" w:rsidP="00831769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spółdzielcze prawo do lokalu mieszkalnego (spółdzielcze lokatorskie prawo do lokalu mieszkalnego, spółdzielcze własnościowe prawo do lokalu mieszkalnego);</w:t>
      </w:r>
    </w:p>
    <w:p w:rsidR="00162342" w:rsidRPr="00831769" w:rsidRDefault="00162342" w:rsidP="00831769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odrębna własność lokali i związane z nią prawa i obowiązki; ochrona praw lokatorów;</w:t>
      </w:r>
    </w:p>
    <w:p w:rsidR="00162342" w:rsidRPr="00831769" w:rsidRDefault="00162342" w:rsidP="00831769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odszkodowanie za bezumowne korzystanie z lokalu należne od osób zajmujących lokal bez tytułu prawnego i od gminy, która nie przedstawiła oferty zawarcia umowy najmu lokalu socjalnego; </w:t>
      </w:r>
    </w:p>
    <w:p w:rsidR="00162342" w:rsidRPr="00831769" w:rsidRDefault="00162342" w:rsidP="00831769">
      <w:pPr>
        <w:numPr>
          <w:ilvl w:val="0"/>
          <w:numId w:val="9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reprezentacji spółdzielni mieszkaniowych oraz wspólnot mieszkaniowych.</w:t>
      </w:r>
    </w:p>
    <w:p w:rsidR="00162342" w:rsidRPr="00831769" w:rsidRDefault="00162342" w:rsidP="00831769">
      <w:pPr>
        <w:spacing w:before="80" w:after="8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342" w:rsidRPr="00831769" w:rsidRDefault="00162342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162342" w:rsidRPr="00831769" w:rsidRDefault="00162342" w:rsidP="00831769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koncentracji materiału dowodowego;</w:t>
      </w:r>
    </w:p>
    <w:p w:rsidR="00162342" w:rsidRPr="00831769" w:rsidRDefault="00162342" w:rsidP="00831769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kontradyktoryjności i związane z nią zagadnienie rozkładu ciężaru dowodu;</w:t>
      </w:r>
    </w:p>
    <w:p w:rsidR="00162342" w:rsidRPr="00831769" w:rsidRDefault="00162342" w:rsidP="00831769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zasadę swobodnej oceny dowodów, w tym umiejętność dokonywania oceny materiału dowodowego;</w:t>
      </w:r>
    </w:p>
    <w:p w:rsidR="00162342" w:rsidRPr="00831769" w:rsidRDefault="00162342" w:rsidP="00831769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 obowiązki sądu wezwanego do przeprowadzenia dowodu; udzielanie pomocy transgranicznej w przeprowadzaniu dowodów w sprawach cywilnych; umiejętność redagowania odezw sądowych mających na celu przesłuchanie świadka, strony, ewentualnie przeprowadzenie innych dowodów w krajach UE i poza UE; umiejętność udzielania pomocy sądowej sądom krajowym i europejskim oraz spoza Unii Europejskiej;</w:t>
      </w:r>
    </w:p>
    <w:p w:rsidR="00162342" w:rsidRPr="00831769" w:rsidRDefault="00162342" w:rsidP="00831769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postanowień dowodowych dopuszczających dowód z opinii biegłego, w szczególności w sprawach o odszkodowanie za bezumowne korzystanie z lokalu;</w:t>
      </w:r>
    </w:p>
    <w:p w:rsidR="00162342" w:rsidRPr="00831769" w:rsidRDefault="00162342" w:rsidP="00831769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przesłuchiwania stron i świadków w sprawach objętych tematyką materialnoprawną zjazdu;</w:t>
      </w:r>
    </w:p>
    <w:p w:rsidR="00162342" w:rsidRPr="00831769" w:rsidRDefault="00162342" w:rsidP="00831769">
      <w:pPr>
        <w:numPr>
          <w:ilvl w:val="0"/>
          <w:numId w:val="10"/>
        </w:numPr>
        <w:spacing w:before="80" w:after="8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prawidłowego formułowania orzeczeń w sprawach: </w:t>
      </w:r>
    </w:p>
    <w:p w:rsidR="00162342" w:rsidRPr="00831769" w:rsidRDefault="00162342" w:rsidP="00831769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ustalenie; </w:t>
      </w:r>
    </w:p>
    <w:p w:rsidR="00162342" w:rsidRPr="00831769" w:rsidRDefault="00162342" w:rsidP="00831769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o eksmisję;</w:t>
      </w:r>
    </w:p>
    <w:p w:rsidR="00162342" w:rsidRPr="00831769" w:rsidRDefault="00162342" w:rsidP="00831769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o zasądzenie czynszu z tytułu umowy najmu, dzierżawy;</w:t>
      </w:r>
    </w:p>
    <w:p w:rsidR="00162342" w:rsidRPr="00831769" w:rsidRDefault="00162342" w:rsidP="00831769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o odszkodowanie za bezumowne korzystanie z lokalu/nieruchomości;</w:t>
      </w:r>
    </w:p>
    <w:p w:rsidR="00162342" w:rsidRPr="00831769" w:rsidRDefault="00162342" w:rsidP="00831769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rozwiązanie stosunku prawnego uprawniającego do używania lokalu;</w:t>
      </w:r>
    </w:p>
    <w:p w:rsidR="00162342" w:rsidRPr="00831769" w:rsidRDefault="00162342" w:rsidP="00831769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uprawnienia bądź braku uprawnienia do otrzymania lokalu socjalnego, </w:t>
      </w:r>
    </w:p>
    <w:p w:rsidR="00162342" w:rsidRPr="00831769" w:rsidRDefault="00162342" w:rsidP="00831769">
      <w:pPr>
        <w:pStyle w:val="Akapitzlist"/>
        <w:numPr>
          <w:ilvl w:val="3"/>
          <w:numId w:val="25"/>
        </w:numPr>
        <w:spacing w:before="80" w:after="8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1769">
        <w:rPr>
          <w:rFonts w:ascii="Times New Roman" w:eastAsia="Times New Roman" w:hAnsi="Times New Roman" w:cs="Times New Roman"/>
          <w:sz w:val="24"/>
          <w:szCs w:val="24"/>
          <w:lang w:eastAsia="pl-PL"/>
        </w:rPr>
        <w:t>o uzgodnienie treści księgi wieczystej z rzeczywistym stanem prawnym.</w:t>
      </w:r>
    </w:p>
    <w:p w:rsidR="00162342" w:rsidRPr="00831769" w:rsidRDefault="00162342" w:rsidP="00831769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342" w:rsidRPr="0054664D" w:rsidRDefault="00162342" w:rsidP="0054664D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69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162342" w:rsidRPr="00831769" w:rsidRDefault="00162342" w:rsidP="00831769">
      <w:pPr>
        <w:pStyle w:val="Akapitzlist"/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831769">
        <w:rPr>
          <w:rFonts w:ascii="Times New Roman" w:hAnsi="Times New Roman" w:cs="Times New Roman"/>
          <w:sz w:val="24"/>
          <w:szCs w:val="24"/>
        </w:rPr>
        <w:t xml:space="preserve"> projektów wyroków wraz z uzasadnieniem </w:t>
      </w:r>
      <w:r w:rsidR="0054664D">
        <w:rPr>
          <w:rFonts w:ascii="Times New Roman" w:hAnsi="Times New Roman" w:cs="Times New Roman"/>
          <w:sz w:val="24"/>
          <w:szCs w:val="24"/>
        </w:rPr>
        <w:t xml:space="preserve">(i zarządzeniami) </w:t>
      </w:r>
      <w:r w:rsidRPr="00831769">
        <w:rPr>
          <w:rFonts w:ascii="Times New Roman" w:hAnsi="Times New Roman" w:cs="Times New Roman"/>
          <w:sz w:val="24"/>
          <w:szCs w:val="24"/>
        </w:rPr>
        <w:t>w sprawach dotyczących: roszczeń wynikających z umów najmu, o odszkodowanie za bezumowne korzystanie z lokalu/nieruchomości, roszczeń dotyczących eksmisji, uprawnienia lub braku uprawnienia do otrzymania lokalu socjalnego, uzgodnienia treści księgi wieczystej z rzeczywistym stanem prawnym;</w:t>
      </w:r>
    </w:p>
    <w:p w:rsidR="00162342" w:rsidRPr="00831769" w:rsidRDefault="00162342" w:rsidP="00831769">
      <w:pPr>
        <w:pStyle w:val="Akapitzlist"/>
        <w:numPr>
          <w:ilvl w:val="0"/>
          <w:numId w:val="11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lastRenderedPageBreak/>
        <w:t>sporządzenie</w:t>
      </w:r>
      <w:r w:rsidRPr="00831769">
        <w:rPr>
          <w:rFonts w:ascii="Times New Roman" w:hAnsi="Times New Roman" w:cs="Times New Roman"/>
          <w:sz w:val="24"/>
          <w:szCs w:val="24"/>
        </w:rPr>
        <w:t xml:space="preserve"> projektów następujących decyzji procesowych: </w:t>
      </w:r>
    </w:p>
    <w:p w:rsidR="00162342" w:rsidRPr="00831769" w:rsidRDefault="00162342" w:rsidP="00831769">
      <w:pPr>
        <w:pStyle w:val="Akapitzlist"/>
        <w:numPr>
          <w:ilvl w:val="0"/>
          <w:numId w:val="26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postanowienia o dopuszczeniu dowodu z opinii biegłego/biegłych lub instytutu wraz z zarządzeniami zmierzającymi do wykonania takiego postanowienia, w szczególności w sprawach o odszkodowanie za bezumowne korzystanie z nieruchomości/lokalu;</w:t>
      </w:r>
    </w:p>
    <w:p w:rsidR="00162342" w:rsidRPr="00831769" w:rsidRDefault="00162342" w:rsidP="00831769">
      <w:pPr>
        <w:pStyle w:val="Akapitzlist"/>
        <w:numPr>
          <w:ilvl w:val="0"/>
          <w:numId w:val="26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postanowienia</w:t>
      </w:r>
      <w:r w:rsidRPr="00831769">
        <w:rPr>
          <w:rFonts w:ascii="Times New Roman" w:hAnsi="Times New Roman" w:cs="Times New Roman"/>
          <w:sz w:val="24"/>
          <w:szCs w:val="24"/>
        </w:rPr>
        <w:t xml:space="preserve"> w przedmiocie przyznania biegłemu lub instytutowi wynagrodzenia za udział w rozprawie i za wykonaną pracę wraz z zarządzeniami zmierzającymi do wykonania takiego postanowienia;</w:t>
      </w:r>
    </w:p>
    <w:p w:rsidR="00162342" w:rsidRPr="00831769" w:rsidRDefault="00162342" w:rsidP="00831769">
      <w:pPr>
        <w:pStyle w:val="Akapitzlist"/>
        <w:numPr>
          <w:ilvl w:val="0"/>
          <w:numId w:val="26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postanowienia o skazaniu świadka/biegłego na grzywnę oraz postanowienia w przedmiocie zwolnienia świadka (biegłego) od grzywny wraz z zarządzeniami zmierzającymi do wykonania takich postanowień;</w:t>
      </w:r>
    </w:p>
    <w:p w:rsidR="00296DE8" w:rsidRPr="00831769" w:rsidRDefault="00162342" w:rsidP="00831769">
      <w:pPr>
        <w:pStyle w:val="Akapitzlist"/>
        <w:numPr>
          <w:ilvl w:val="0"/>
          <w:numId w:val="26"/>
        </w:numPr>
        <w:spacing w:before="80" w:after="8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odezwy o udzielenie pomocy sądowej, w tym w ramach obrotu zagranicznego (przesłuchanie świadka, strony, ewentualnie przeprowadzenie innych dowodów).</w:t>
      </w:r>
    </w:p>
    <w:p w:rsidR="00296DE8" w:rsidRPr="00831769" w:rsidRDefault="00296DE8" w:rsidP="008317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2342" w:rsidRPr="0054664D" w:rsidRDefault="00296DE8" w:rsidP="0054664D">
      <w:pPr>
        <w:pStyle w:val="Akapitzlist"/>
        <w:numPr>
          <w:ilvl w:val="1"/>
          <w:numId w:val="1"/>
        </w:numPr>
        <w:spacing w:after="120" w:line="36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ZALECENIA W SPRAWIE PRAKTYK PO 16 ZJEŹDZIE.</w:t>
      </w:r>
    </w:p>
    <w:p w:rsidR="00296DE8" w:rsidRPr="00831769" w:rsidRDefault="00296DE8" w:rsidP="0083176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b/>
          <w:sz w:val="24"/>
          <w:szCs w:val="24"/>
        </w:rPr>
        <w:t>Przedmiot zjazdu:</w:t>
      </w:r>
      <w:r w:rsidRPr="00831769">
        <w:rPr>
          <w:rFonts w:ascii="Times New Roman" w:hAnsi="Times New Roman" w:cs="Times New Roman"/>
          <w:sz w:val="24"/>
          <w:szCs w:val="24"/>
        </w:rPr>
        <w:t xml:space="preserve"> prawo własności, posiadanie, przekształcenia procesowe, zabezpieczenie roszczeń, wyrokowanie</w:t>
      </w:r>
    </w:p>
    <w:p w:rsidR="00296DE8" w:rsidRPr="00831769" w:rsidRDefault="00296DE8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materialnego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szczególną uwagę poświęcić zagadnieniom takim, jak:</w:t>
      </w:r>
    </w:p>
    <w:p w:rsidR="00296DE8" w:rsidRPr="00831769" w:rsidRDefault="00296DE8" w:rsidP="00831769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pojęcie i treść prawa własności oraz współwłasności; nabycie i utrata własności, wykonywanie i ochrona prawa własności;</w:t>
      </w:r>
    </w:p>
    <w:p w:rsidR="00296DE8" w:rsidRPr="00831769" w:rsidRDefault="00296DE8" w:rsidP="00831769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prawo sąsiedzkie; ochrona petytoryjna i posesoryjna;</w:t>
      </w:r>
    </w:p>
    <w:p w:rsidR="00296DE8" w:rsidRPr="00831769" w:rsidRDefault="00296DE8" w:rsidP="00831769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umowa przedwstępna, roszczenia na tle niewykonania umowy przedwstępnej;</w:t>
      </w:r>
    </w:p>
    <w:p w:rsidR="00296DE8" w:rsidRPr="00831769" w:rsidRDefault="00296DE8" w:rsidP="00831769">
      <w:pPr>
        <w:numPr>
          <w:ilvl w:val="0"/>
          <w:numId w:val="12"/>
        </w:numPr>
        <w:spacing w:before="80" w:after="8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odwołanie darowizny i jego skutki.</w:t>
      </w:r>
    </w:p>
    <w:p w:rsidR="00296DE8" w:rsidRPr="00831769" w:rsidRDefault="00296DE8" w:rsidP="00831769">
      <w:pPr>
        <w:pStyle w:val="Akapitzlist"/>
        <w:spacing w:before="80" w:after="8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DE8" w:rsidRPr="00831769" w:rsidRDefault="00296DE8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W zakresie </w:t>
      </w:r>
      <w:r w:rsidRPr="00831769">
        <w:rPr>
          <w:rFonts w:ascii="Times New Roman" w:hAnsi="Times New Roman" w:cs="Times New Roman"/>
          <w:b/>
          <w:sz w:val="24"/>
          <w:szCs w:val="24"/>
        </w:rPr>
        <w:t>prawa procesowego</w:t>
      </w:r>
      <w:r w:rsidRPr="00831769">
        <w:rPr>
          <w:rFonts w:ascii="Times New Roman" w:hAnsi="Times New Roman" w:cs="Times New Roman"/>
          <w:sz w:val="24"/>
          <w:szCs w:val="24"/>
        </w:rPr>
        <w:t xml:space="preserve"> należy poświęcić uwagę przede wszystkim zagadnieniom obejmującym: </w:t>
      </w:r>
    </w:p>
    <w:p w:rsidR="00296DE8" w:rsidRPr="00831769" w:rsidRDefault="00296DE8" w:rsidP="00831769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współuczestnictwo procesowe;</w:t>
      </w:r>
    </w:p>
    <w:p w:rsidR="00296DE8" w:rsidRPr="00831769" w:rsidRDefault="00296DE8" w:rsidP="00831769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dopuszczalność przedmiotowej i podmiotowej zmiany powództwa, podejmowanie decyzji procesowych na podstawie art. 193 – 196 k.p.c.;</w:t>
      </w:r>
    </w:p>
    <w:p w:rsidR="00296DE8" w:rsidRPr="00831769" w:rsidRDefault="00296DE8" w:rsidP="00831769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interwencję główną i uboczną, przypozwanie; kumulację i rozdrabnianie roszczeń;</w:t>
      </w:r>
    </w:p>
    <w:p w:rsidR="00296DE8" w:rsidRPr="00831769" w:rsidRDefault="00296DE8" w:rsidP="00831769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ocenę materiału dowodowego;</w:t>
      </w:r>
    </w:p>
    <w:p w:rsidR="00296DE8" w:rsidRPr="00831769" w:rsidRDefault="00296DE8" w:rsidP="00831769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lastRenderedPageBreak/>
        <w:t>sposób formułowania rozstrzygnięcia w sprawach posesoryjnych i petytoryjnych; sposób formułowania rozstrzygnięcia w sprawach o zobowiązanie do złożenia oświadczenia woli;</w:t>
      </w:r>
    </w:p>
    <w:p w:rsidR="00296DE8" w:rsidRPr="00831769" w:rsidRDefault="00296DE8" w:rsidP="00831769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 xml:space="preserve">zabezpieczenie roszczenia, w szczególności przesłanki udzielenia zabezpieczenia, zabezpieczenie na wniosek i z urzędu, właściwość sądu, treść wniosku, granice rozpoznania wniosku, sposoby zabezpieczenia roszczeń pieniężnych i niepieniężnych, formułowanie postanowień o udzieleniu zabezpieczenia, nadanie klauzuli wykonalności z urzędu, koszty postępowania zabezpieczającego, upadek zabezpieczenia, uchylenie lub zmianę postanowienia o udzieleniu zabezpieczenia; </w:t>
      </w:r>
    </w:p>
    <w:p w:rsidR="00296DE8" w:rsidRPr="00831769" w:rsidRDefault="00296DE8" w:rsidP="00831769">
      <w:pPr>
        <w:numPr>
          <w:ilvl w:val="0"/>
          <w:numId w:val="13"/>
        </w:numPr>
        <w:spacing w:before="80" w:after="8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ustawę o skardze na naruszenie prawa strony do rozpoznania sprawy w postępowaniu przygotowawczym prowadzonym lub nadzorowanym przez prokuratora i postępowaniu sądowym bez nieuzasadnionej zwłoki.</w:t>
      </w:r>
    </w:p>
    <w:p w:rsidR="00296DE8" w:rsidRPr="00831769" w:rsidRDefault="00296DE8" w:rsidP="00831769">
      <w:pPr>
        <w:pStyle w:val="Akapitzlist"/>
        <w:spacing w:before="80" w:after="80" w:line="36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DE8" w:rsidRPr="00831769" w:rsidRDefault="00296DE8" w:rsidP="00831769">
      <w:pPr>
        <w:spacing w:before="80" w:after="8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769">
        <w:rPr>
          <w:rFonts w:ascii="Times New Roman" w:hAnsi="Times New Roman" w:cs="Times New Roman"/>
          <w:b/>
          <w:sz w:val="24"/>
          <w:szCs w:val="24"/>
          <w:u w:val="single"/>
        </w:rPr>
        <w:t>Czynności, które powinny zostać zlecone aplikantowi w trakcie praktyki (czynności obowiązkowe):</w:t>
      </w:r>
    </w:p>
    <w:p w:rsidR="00296DE8" w:rsidRPr="00831769" w:rsidRDefault="00296DE8" w:rsidP="00831769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831769">
        <w:rPr>
          <w:rFonts w:ascii="Times New Roman" w:hAnsi="Times New Roman" w:cs="Times New Roman"/>
          <w:sz w:val="24"/>
          <w:szCs w:val="24"/>
        </w:rPr>
        <w:t xml:space="preserve"> co najmniej dwóch projektów wyroków wraz z uzasadnieniem</w:t>
      </w:r>
      <w:r w:rsidR="0054664D">
        <w:rPr>
          <w:rFonts w:ascii="Times New Roman" w:hAnsi="Times New Roman" w:cs="Times New Roman"/>
          <w:sz w:val="24"/>
          <w:szCs w:val="24"/>
        </w:rPr>
        <w:t xml:space="preserve"> (i zarządzeniami)</w:t>
      </w:r>
      <w:r w:rsidRPr="00831769">
        <w:rPr>
          <w:rFonts w:ascii="Times New Roman" w:hAnsi="Times New Roman" w:cs="Times New Roman"/>
          <w:sz w:val="24"/>
          <w:szCs w:val="24"/>
        </w:rPr>
        <w:t xml:space="preserve"> w sprawach w których zgłoszono roszczenia posesoryjne, petytoryjne, o zobowiązanie do złożenia oświadczenia woli albo o nakazanie określonego zachowania się</w:t>
      </w:r>
      <w:r w:rsidR="0054664D">
        <w:rPr>
          <w:rFonts w:ascii="Times New Roman" w:hAnsi="Times New Roman" w:cs="Times New Roman"/>
          <w:sz w:val="24"/>
          <w:szCs w:val="24"/>
        </w:rPr>
        <w:t>;</w:t>
      </w:r>
    </w:p>
    <w:p w:rsidR="00296DE8" w:rsidRPr="00831769" w:rsidRDefault="00296DE8" w:rsidP="00831769">
      <w:pPr>
        <w:pStyle w:val="Akapitzlist"/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eastAsia="Calibri" w:hAnsi="Times New Roman" w:cs="Times New Roman"/>
          <w:sz w:val="24"/>
          <w:szCs w:val="24"/>
        </w:rPr>
        <w:t>sporządzenie</w:t>
      </w:r>
      <w:r w:rsidRPr="00831769"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54664D">
        <w:rPr>
          <w:rFonts w:ascii="Times New Roman" w:hAnsi="Times New Roman" w:cs="Times New Roman"/>
          <w:sz w:val="24"/>
          <w:szCs w:val="24"/>
        </w:rPr>
        <w:t>dwóch</w:t>
      </w:r>
      <w:r w:rsidRPr="00831769">
        <w:rPr>
          <w:rFonts w:ascii="Times New Roman" w:hAnsi="Times New Roman" w:cs="Times New Roman"/>
          <w:sz w:val="24"/>
          <w:szCs w:val="24"/>
        </w:rPr>
        <w:t xml:space="preserve"> (różnorodnych) projektów postanowień, wraz z uzasadnieniem</w:t>
      </w:r>
      <w:r w:rsidR="0054664D">
        <w:rPr>
          <w:rFonts w:ascii="Times New Roman" w:hAnsi="Times New Roman" w:cs="Times New Roman"/>
          <w:sz w:val="24"/>
          <w:szCs w:val="24"/>
        </w:rPr>
        <w:t xml:space="preserve"> (i zarządzeniami)</w:t>
      </w:r>
      <w:r w:rsidRPr="00831769">
        <w:rPr>
          <w:rFonts w:ascii="Times New Roman" w:hAnsi="Times New Roman" w:cs="Times New Roman"/>
          <w:sz w:val="24"/>
          <w:szCs w:val="24"/>
        </w:rPr>
        <w:t xml:space="preserve">, rozstrzygających o zabezpieczeniu roszczenia; </w:t>
      </w:r>
    </w:p>
    <w:p w:rsidR="00296DE8" w:rsidRPr="00831769" w:rsidRDefault="00296DE8" w:rsidP="00831769">
      <w:pPr>
        <w:pStyle w:val="Akapitzlist"/>
        <w:numPr>
          <w:ilvl w:val="0"/>
          <w:numId w:val="14"/>
        </w:numPr>
        <w:spacing w:before="80" w:after="8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 xml:space="preserve">sporządzenie projektów następujących decyzji procesowych: </w:t>
      </w:r>
    </w:p>
    <w:p w:rsidR="00296DE8" w:rsidRPr="00831769" w:rsidRDefault="00296DE8" w:rsidP="00831769">
      <w:pPr>
        <w:pStyle w:val="Akapitzlist"/>
        <w:numPr>
          <w:ilvl w:val="0"/>
          <w:numId w:val="27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podejmowanych po złożeniu wniosku o przypozwanie;</w:t>
      </w:r>
    </w:p>
    <w:p w:rsidR="00296DE8" w:rsidRPr="00831769" w:rsidRDefault="00296DE8" w:rsidP="00831769">
      <w:pPr>
        <w:pStyle w:val="Akapitzlist"/>
        <w:numPr>
          <w:ilvl w:val="0"/>
          <w:numId w:val="27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podejmowanych w przypadku przedmiotowej zmiany powództwa;</w:t>
      </w:r>
    </w:p>
    <w:p w:rsidR="00296DE8" w:rsidRPr="00831769" w:rsidRDefault="00296DE8" w:rsidP="00831769">
      <w:pPr>
        <w:pStyle w:val="Akapitzlist"/>
        <w:numPr>
          <w:ilvl w:val="0"/>
          <w:numId w:val="27"/>
        </w:numPr>
        <w:spacing w:before="80" w:after="8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31769">
        <w:rPr>
          <w:rFonts w:ascii="Times New Roman" w:hAnsi="Times New Roman" w:cs="Times New Roman"/>
          <w:sz w:val="24"/>
          <w:szCs w:val="24"/>
        </w:rPr>
        <w:t>podejmowanych w przypadkach podmiotowej zmiany powództwa.</w:t>
      </w:r>
    </w:p>
    <w:p w:rsidR="00296DE8" w:rsidRPr="00831769" w:rsidRDefault="00296DE8" w:rsidP="00831769">
      <w:pPr>
        <w:pStyle w:val="Teksttreci60"/>
        <w:tabs>
          <w:tab w:val="left" w:leader="dot" w:pos="3805"/>
        </w:tabs>
        <w:spacing w:after="120" w:line="360" w:lineRule="auto"/>
        <w:ind w:left="993"/>
        <w:jc w:val="both"/>
        <w:rPr>
          <w:sz w:val="24"/>
          <w:szCs w:val="24"/>
        </w:rPr>
      </w:pPr>
    </w:p>
    <w:sectPr w:rsidR="00296DE8" w:rsidRPr="00831769" w:rsidSect="00E520B5"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861" w:rsidRDefault="00447861">
      <w:pPr>
        <w:spacing w:after="0" w:line="240" w:lineRule="auto"/>
      </w:pPr>
      <w:r>
        <w:separator/>
      </w:r>
    </w:p>
  </w:endnote>
  <w:endnote w:type="continuationSeparator" w:id="0">
    <w:p w:rsidR="00447861" w:rsidRDefault="0044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958417"/>
      <w:docPartObj>
        <w:docPartGallery w:val="Page Numbers (Bottom of Page)"/>
        <w:docPartUnique/>
      </w:docPartObj>
    </w:sdtPr>
    <w:sdtEndPr/>
    <w:sdtContent>
      <w:p w:rsidR="002F532C" w:rsidRDefault="00262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69">
          <w:rPr>
            <w:noProof/>
          </w:rPr>
          <w:t>4</w:t>
        </w:r>
        <w:r>
          <w:fldChar w:fldCharType="end"/>
        </w:r>
      </w:p>
    </w:sdtContent>
  </w:sdt>
  <w:p w:rsidR="007A3737" w:rsidRDefault="004478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861" w:rsidRDefault="00447861">
      <w:pPr>
        <w:spacing w:after="0" w:line="240" w:lineRule="auto"/>
      </w:pPr>
      <w:r>
        <w:separator/>
      </w:r>
    </w:p>
  </w:footnote>
  <w:footnote w:type="continuationSeparator" w:id="0">
    <w:p w:rsidR="00447861" w:rsidRDefault="00447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981"/>
    <w:multiLevelType w:val="hybridMultilevel"/>
    <w:tmpl w:val="B95A688E"/>
    <w:lvl w:ilvl="0" w:tplc="AFD85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6966"/>
    <w:multiLevelType w:val="hybridMultilevel"/>
    <w:tmpl w:val="DA78D6A0"/>
    <w:lvl w:ilvl="0" w:tplc="69B6D84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53FD"/>
    <w:multiLevelType w:val="hybridMultilevel"/>
    <w:tmpl w:val="8CDA14F6"/>
    <w:lvl w:ilvl="0" w:tplc="8AD81B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642"/>
    <w:multiLevelType w:val="hybridMultilevel"/>
    <w:tmpl w:val="E7E60DD8"/>
    <w:lvl w:ilvl="0" w:tplc="356CC9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92079C8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84646F52">
      <w:start w:val="1"/>
      <w:numFmt w:val="lowerLetter"/>
      <w:lvlText w:val="%4)"/>
      <w:lvlJc w:val="left"/>
      <w:pPr>
        <w:ind w:left="3447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B9525A"/>
    <w:multiLevelType w:val="hybridMultilevel"/>
    <w:tmpl w:val="9F06486E"/>
    <w:lvl w:ilvl="0" w:tplc="F4842FBA">
      <w:start w:val="1"/>
      <w:numFmt w:val="decimal"/>
      <w:lvlText w:val="%1)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15F4"/>
    <w:multiLevelType w:val="multilevel"/>
    <w:tmpl w:val="BBF8B98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554794"/>
    <w:multiLevelType w:val="hybridMultilevel"/>
    <w:tmpl w:val="CB7E29E2"/>
    <w:lvl w:ilvl="0" w:tplc="522CCAC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7726"/>
    <w:multiLevelType w:val="hybridMultilevel"/>
    <w:tmpl w:val="FB02FEE4"/>
    <w:lvl w:ilvl="0" w:tplc="1DA6EA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C30A7"/>
    <w:multiLevelType w:val="hybridMultilevel"/>
    <w:tmpl w:val="6582A8E6"/>
    <w:lvl w:ilvl="0" w:tplc="28B6594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E968F84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27BBD"/>
    <w:multiLevelType w:val="hybridMultilevel"/>
    <w:tmpl w:val="6B46D472"/>
    <w:lvl w:ilvl="0" w:tplc="A34E7D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E6296"/>
    <w:multiLevelType w:val="hybridMultilevel"/>
    <w:tmpl w:val="7DF22A5E"/>
    <w:lvl w:ilvl="0" w:tplc="CBD06A8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3E4CAB"/>
    <w:multiLevelType w:val="hybridMultilevel"/>
    <w:tmpl w:val="137A8134"/>
    <w:lvl w:ilvl="0" w:tplc="0A2228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845B1"/>
    <w:multiLevelType w:val="hybridMultilevel"/>
    <w:tmpl w:val="F8FCA60C"/>
    <w:lvl w:ilvl="0" w:tplc="A6046C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870102"/>
    <w:multiLevelType w:val="hybridMultilevel"/>
    <w:tmpl w:val="9EB4EDAC"/>
    <w:lvl w:ilvl="0" w:tplc="913C55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7E07"/>
    <w:multiLevelType w:val="hybridMultilevel"/>
    <w:tmpl w:val="328201A6"/>
    <w:lvl w:ilvl="0" w:tplc="AE7656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C4CB4"/>
    <w:multiLevelType w:val="hybridMultilevel"/>
    <w:tmpl w:val="A5DED748"/>
    <w:lvl w:ilvl="0" w:tplc="73DA09C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6" w15:restartNumberingAfterBreak="0">
    <w:nsid w:val="429E5983"/>
    <w:multiLevelType w:val="hybridMultilevel"/>
    <w:tmpl w:val="67E065D4"/>
    <w:lvl w:ilvl="0" w:tplc="E4948E34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592B0658"/>
    <w:multiLevelType w:val="hybridMultilevel"/>
    <w:tmpl w:val="FA427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966EE"/>
    <w:multiLevelType w:val="hybridMultilevel"/>
    <w:tmpl w:val="5C98963A"/>
    <w:lvl w:ilvl="0" w:tplc="CA1AEC7E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5B4A7E8F"/>
    <w:multiLevelType w:val="hybridMultilevel"/>
    <w:tmpl w:val="87961348"/>
    <w:lvl w:ilvl="0" w:tplc="FE7A25C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E9A0D69"/>
    <w:multiLevelType w:val="hybridMultilevel"/>
    <w:tmpl w:val="CF544AC8"/>
    <w:lvl w:ilvl="0" w:tplc="40546BE0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615D03DC"/>
    <w:multiLevelType w:val="multilevel"/>
    <w:tmpl w:val="89088E3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9397A4B"/>
    <w:multiLevelType w:val="hybridMultilevel"/>
    <w:tmpl w:val="B5E6D684"/>
    <w:lvl w:ilvl="0" w:tplc="150A85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45B6E"/>
    <w:multiLevelType w:val="hybridMultilevel"/>
    <w:tmpl w:val="B484E0B2"/>
    <w:lvl w:ilvl="0" w:tplc="A810E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417C2"/>
    <w:multiLevelType w:val="hybridMultilevel"/>
    <w:tmpl w:val="50C61344"/>
    <w:lvl w:ilvl="0" w:tplc="97D07182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70B05BD5"/>
    <w:multiLevelType w:val="hybridMultilevel"/>
    <w:tmpl w:val="68667F32"/>
    <w:lvl w:ilvl="0" w:tplc="09C66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24240"/>
    <w:multiLevelType w:val="hybridMultilevel"/>
    <w:tmpl w:val="9E92B392"/>
    <w:lvl w:ilvl="0" w:tplc="6B4CBB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F289C"/>
    <w:multiLevelType w:val="hybridMultilevel"/>
    <w:tmpl w:val="06EE4D6C"/>
    <w:lvl w:ilvl="0" w:tplc="AEF4581C">
      <w:start w:val="1"/>
      <w:numFmt w:val="decimal"/>
      <w:lvlText w:val="%1)"/>
      <w:lvlJc w:val="left"/>
      <w:pPr>
        <w:ind w:left="115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 w15:restartNumberingAfterBreak="0">
    <w:nsid w:val="78825FF8"/>
    <w:multiLevelType w:val="hybridMultilevel"/>
    <w:tmpl w:val="D3EEC97A"/>
    <w:lvl w:ilvl="0" w:tplc="085ACC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C5763"/>
    <w:multiLevelType w:val="hybridMultilevel"/>
    <w:tmpl w:val="8DD6D410"/>
    <w:lvl w:ilvl="0" w:tplc="E7E004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22"/>
  </w:num>
  <w:num w:numId="17">
    <w:abstractNumId w:val="21"/>
  </w:num>
  <w:num w:numId="18">
    <w:abstractNumId w:val="14"/>
  </w:num>
  <w:num w:numId="19">
    <w:abstractNumId w:val="2"/>
  </w:num>
  <w:num w:numId="20">
    <w:abstractNumId w:val="7"/>
  </w:num>
  <w:num w:numId="21">
    <w:abstractNumId w:val="25"/>
  </w:num>
  <w:num w:numId="22">
    <w:abstractNumId w:val="10"/>
  </w:num>
  <w:num w:numId="23">
    <w:abstractNumId w:val="27"/>
  </w:num>
  <w:num w:numId="24">
    <w:abstractNumId w:val="16"/>
  </w:num>
  <w:num w:numId="25">
    <w:abstractNumId w:val="3"/>
  </w:num>
  <w:num w:numId="26">
    <w:abstractNumId w:val="24"/>
  </w:num>
  <w:num w:numId="27">
    <w:abstractNumId w:val="20"/>
  </w:num>
  <w:num w:numId="28">
    <w:abstractNumId w:val="13"/>
  </w:num>
  <w:num w:numId="29">
    <w:abstractNumId w:val="1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41"/>
    <w:rsid w:val="00006B14"/>
    <w:rsid w:val="00056FC4"/>
    <w:rsid w:val="00096353"/>
    <w:rsid w:val="000B05B6"/>
    <w:rsid w:val="00125238"/>
    <w:rsid w:val="0015106A"/>
    <w:rsid w:val="00162342"/>
    <w:rsid w:val="00172602"/>
    <w:rsid w:val="00193716"/>
    <w:rsid w:val="001B2BAC"/>
    <w:rsid w:val="001C0C6C"/>
    <w:rsid w:val="00200526"/>
    <w:rsid w:val="00204A45"/>
    <w:rsid w:val="0026212E"/>
    <w:rsid w:val="00263D04"/>
    <w:rsid w:val="00296DE8"/>
    <w:rsid w:val="002C24FD"/>
    <w:rsid w:val="002C393B"/>
    <w:rsid w:val="002D2429"/>
    <w:rsid w:val="00323DB3"/>
    <w:rsid w:val="00377E27"/>
    <w:rsid w:val="003C1289"/>
    <w:rsid w:val="003F26DD"/>
    <w:rsid w:val="004224D8"/>
    <w:rsid w:val="00447861"/>
    <w:rsid w:val="004554D2"/>
    <w:rsid w:val="00460A3C"/>
    <w:rsid w:val="0046231B"/>
    <w:rsid w:val="004A50A0"/>
    <w:rsid w:val="004C50FE"/>
    <w:rsid w:val="0054664D"/>
    <w:rsid w:val="005B464C"/>
    <w:rsid w:val="005D2966"/>
    <w:rsid w:val="005D6DF7"/>
    <w:rsid w:val="005E1A29"/>
    <w:rsid w:val="0069766A"/>
    <w:rsid w:val="00831769"/>
    <w:rsid w:val="008773CB"/>
    <w:rsid w:val="00913CE5"/>
    <w:rsid w:val="00982F8D"/>
    <w:rsid w:val="00A36901"/>
    <w:rsid w:val="00AA0B0F"/>
    <w:rsid w:val="00AD09A1"/>
    <w:rsid w:val="00B408D3"/>
    <w:rsid w:val="00B43D94"/>
    <w:rsid w:val="00B64F93"/>
    <w:rsid w:val="00B93FF9"/>
    <w:rsid w:val="00BD15B4"/>
    <w:rsid w:val="00BD7A27"/>
    <w:rsid w:val="00BE070B"/>
    <w:rsid w:val="00BE7E4A"/>
    <w:rsid w:val="00BF5750"/>
    <w:rsid w:val="00C03889"/>
    <w:rsid w:val="00C04EBF"/>
    <w:rsid w:val="00C42A03"/>
    <w:rsid w:val="00C50C5E"/>
    <w:rsid w:val="00C86EDB"/>
    <w:rsid w:val="00CD0594"/>
    <w:rsid w:val="00D23B76"/>
    <w:rsid w:val="00D94A44"/>
    <w:rsid w:val="00DB08D9"/>
    <w:rsid w:val="00E03541"/>
    <w:rsid w:val="00E20167"/>
    <w:rsid w:val="00F2500C"/>
    <w:rsid w:val="00F66867"/>
    <w:rsid w:val="00F902E9"/>
    <w:rsid w:val="00F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DAB56C-5A47-49E0-83D4-D99BABD9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342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3B76"/>
    <w:pPr>
      <w:keepNext/>
      <w:spacing w:before="240" w:after="60" w:line="36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541"/>
    <w:pPr>
      <w:ind w:left="720"/>
      <w:contextualSpacing/>
    </w:pPr>
  </w:style>
  <w:style w:type="table" w:styleId="Tabela-Siatka">
    <w:name w:val="Table Grid"/>
    <w:basedOn w:val="Standardowy"/>
    <w:uiPriority w:val="39"/>
    <w:rsid w:val="00E0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6">
    <w:name w:val="Tekst treści (6)_"/>
    <w:basedOn w:val="Domylnaczcionkaakapitu"/>
    <w:link w:val="Teksttreci60"/>
    <w:rsid w:val="00E035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354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Nagwek">
    <w:name w:val="header"/>
    <w:basedOn w:val="Normalny"/>
    <w:link w:val="NagwekZnak"/>
    <w:unhideWhenUsed/>
    <w:rsid w:val="00E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03541"/>
  </w:style>
  <w:style w:type="paragraph" w:styleId="Stopka">
    <w:name w:val="footer"/>
    <w:basedOn w:val="Normalny"/>
    <w:link w:val="StopkaZnak"/>
    <w:uiPriority w:val="99"/>
    <w:unhideWhenUsed/>
    <w:rsid w:val="00E0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541"/>
  </w:style>
  <w:style w:type="character" w:styleId="Hipercze">
    <w:name w:val="Hyperlink"/>
    <w:basedOn w:val="Domylnaczcionkaakapitu"/>
    <w:uiPriority w:val="99"/>
    <w:unhideWhenUsed/>
    <w:rsid w:val="00E03541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23B76"/>
    <w:rPr>
      <w:rFonts w:ascii="Calibri" w:eastAsia="Times New Roman" w:hAnsi="Calibri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node/7958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3005</Words>
  <Characters>18032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Kucharczyk</dc:creator>
  <cp:lastModifiedBy>Magdalena Kowalczyk</cp:lastModifiedBy>
  <cp:revision>2</cp:revision>
  <cp:lastPrinted>2023-11-17T14:05:00Z</cp:lastPrinted>
  <dcterms:created xsi:type="dcterms:W3CDTF">2023-11-21T13:47:00Z</dcterms:created>
  <dcterms:modified xsi:type="dcterms:W3CDTF">2023-11-21T13:47:00Z</dcterms:modified>
</cp:coreProperties>
</file>