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4" w:rsidRPr="00B07BE5" w:rsidRDefault="00630144" w:rsidP="0063014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07BE5">
        <w:rPr>
          <w:rFonts w:ascii="Times New Roman" w:hAnsi="Times New Roman" w:cs="Times New Roman"/>
          <w:i/>
          <w:sz w:val="24"/>
          <w:szCs w:val="24"/>
        </w:rPr>
        <w:t>Zalecenia w sprawie praktyk odbywanych przez aplikantów XII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07BE5">
        <w:rPr>
          <w:rFonts w:ascii="Times New Roman" w:hAnsi="Times New Roman" w:cs="Times New Roman"/>
          <w:i/>
          <w:sz w:val="24"/>
          <w:szCs w:val="24"/>
        </w:rPr>
        <w:t xml:space="preserve"> rocznika aplikacji sędziowskiej po 22 i 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i/>
          <w:sz w:val="24"/>
          <w:szCs w:val="24"/>
        </w:rPr>
        <w:t>zjeździe</w:t>
      </w:r>
    </w:p>
    <w:p w:rsidR="00630144" w:rsidRPr="00B07BE5" w:rsidRDefault="00630144" w:rsidP="0063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Do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:rsidR="00630144" w:rsidRPr="00B07BE5" w:rsidRDefault="00630144" w:rsidP="0063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Patron praktyki powinien w pierwszej kolejności powierzać aplikantowi wykonanie czynności określonych </w:t>
      </w:r>
      <w:r w:rsidRPr="00B07BE5">
        <w:rPr>
          <w:rFonts w:ascii="Times New Roman" w:hAnsi="Times New Roman" w:cs="Times New Roman"/>
          <w:noProof/>
          <w:sz w:val="24"/>
          <w:szCs w:val="24"/>
        </w:rPr>
        <w:t xml:space="preserve">w zaleceniach dotyczących przebiegu praktyki po konkretnym zjeździe (czynności obowiązkowe), 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Pr="00B07B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kontrolować prawidłowość ich wykonania. </w:t>
      </w:r>
    </w:p>
    <w:p w:rsidR="00630144" w:rsidRPr="00B07BE5" w:rsidRDefault="00630144" w:rsidP="00630144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sz w:val="24"/>
          <w:szCs w:val="24"/>
        </w:rPr>
        <w:t>Patron praktyki winien zwrócić szczególną uwagę na nabycie przez aplikantów umiejętności samodzielnego opracowywania projektów orzeczeń będących przedmiotem sprawdzianu.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Zaleca się angażowanie aplikanta w czynności, o których mowa w art. 45 § 3 </w:t>
      </w:r>
      <w:r w:rsidRPr="00B07BE5">
        <w:rPr>
          <w:rFonts w:ascii="Times New Roman" w:hAnsi="Times New Roman" w:cs="Times New Roman"/>
          <w:bCs/>
          <w:sz w:val="24"/>
          <w:szCs w:val="24"/>
        </w:rPr>
        <w:t>ustawy z dnia 27 lipca 2001 r. Prawo o ustroju sądów powszechnych.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przypadku, gdy zrealizowanie czynności zawartych w zaleceniach dotyczących przebiegu danej praktyki okazało się niemożliwe, należy je uzupełnić podczas kolejnych praktyk – tak, aby aplikant po zakończeniu cyklu praktyk w danym wydziale posiadł </w:t>
      </w:r>
      <w:r w:rsidRPr="00B07BE5">
        <w:rPr>
          <w:rFonts w:ascii="Times New Roman" w:hAnsi="Times New Roman" w:cs="Times New Roman"/>
          <w:sz w:val="24"/>
          <w:szCs w:val="24"/>
        </w:rPr>
        <w:lastRenderedPageBreak/>
        <w:t>wszystkie niezbędne umiejętności z zakresu objętego programem wyszczególnionych zjazdów.</w:t>
      </w:r>
    </w:p>
    <w:p w:rsidR="00630144" w:rsidRPr="00B07BE5" w:rsidRDefault="00630144" w:rsidP="0063014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07BE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Pr="00B07B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0144" w:rsidRPr="00B07BE5" w:rsidRDefault="00630144" w:rsidP="00630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 w sądzie rejonowym – wydziale rodzinnym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630144" w:rsidRPr="00B07BE5" w:rsidTr="00FF7639">
        <w:tc>
          <w:tcPr>
            <w:tcW w:w="993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2127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4110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30144" w:rsidRPr="00B07BE5" w:rsidTr="00FF7639">
        <w:tc>
          <w:tcPr>
            <w:tcW w:w="993" w:type="dxa"/>
            <w:shd w:val="clear" w:color="auto" w:fill="E2EFD9" w:themeFill="accent6" w:themeFillTint="33"/>
            <w:vAlign w:val="center"/>
          </w:tcPr>
          <w:p w:rsidR="00630144" w:rsidRPr="00576530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8.1.2024 r. -12.1</w:t>
            </w: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630144" w:rsidRDefault="00630144" w:rsidP="006301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15.1.2024 r. </w:t>
            </w:r>
          </w:p>
          <w:p w:rsidR="00630144" w:rsidRPr="00B07BE5" w:rsidRDefault="00630144" w:rsidP="006301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2.2.2024 r. </w:t>
            </w:r>
          </w:p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 (3 tygodnie)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144" w:rsidRPr="00B07BE5" w:rsidTr="00FF7639">
        <w:tc>
          <w:tcPr>
            <w:tcW w:w="993" w:type="dxa"/>
            <w:shd w:val="clear" w:color="auto" w:fill="C5E0B3" w:themeFill="accent6" w:themeFillTint="66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630144" w:rsidRPr="00630144" w:rsidRDefault="00630144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>5.2.2024 r. – 9.2.2024 r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:rsidR="00166926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od 12.</w:t>
            </w:r>
            <w:r w:rsidR="00166926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2.2024 r.</w:t>
            </w:r>
          </w:p>
          <w:p w:rsidR="00630144" w:rsidRPr="00166926" w:rsidRDefault="00166926" w:rsidP="0016692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30144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do 1.</w:t>
            </w: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30144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3.2024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144" w:rsidRPr="00630144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(3 tygodnie w tym: </w:t>
            </w:r>
            <w:r w:rsidRPr="00166926">
              <w:rPr>
                <w:rFonts w:ascii="Times New Roman" w:hAnsi="Times New Roman" w:cs="Times New Roman"/>
                <w:sz w:val="24"/>
                <w:szCs w:val="24"/>
              </w:rPr>
              <w:t>1 tydzień na czynności podejmowane w ramach postępowania wykonawczego,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144" w:rsidRPr="00630144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1 tydzień w ramach zespołów kuratorskiej służby sądowej (i w miarę możliwości organizacyjnych 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poszczególnych zespołów aplikanci powinni zostać zapoznani z działalnością zakładów poprawczych lub schronisk dla nieletnich).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:rsidR="00630144" w:rsidRPr="00B07BE5" w:rsidRDefault="00166926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4.3.2024 </w:t>
            </w:r>
            <w:r w:rsidR="00630144"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r.; opracowanie, na podstawie spreparowanych akt, projektu orzeczenia wraz z uzasadnieniem w sprawie objętej tematyką zjazdu </w:t>
            </w:r>
          </w:p>
        </w:tc>
      </w:tr>
    </w:tbl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Zalecenia dotyczące przebiegu poszczególnych praktyk</w:t>
      </w:r>
    </w:p>
    <w:p w:rsidR="00630144" w:rsidRPr="00B07BE5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1"/>
          <w:numId w:val="1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 xml:space="preserve"> ZALECENIA W SPRAWIE PRAKTYK PO 22 </w:t>
      </w:r>
      <w:r>
        <w:rPr>
          <w:rFonts w:ascii="Times New Roman" w:hAnsi="Times New Roman" w:cs="Times New Roman"/>
          <w:b/>
          <w:sz w:val="24"/>
          <w:szCs w:val="24"/>
        </w:rPr>
        <w:t>ZJEŻDZIE</w:t>
      </w:r>
    </w:p>
    <w:p w:rsidR="00630144" w:rsidRPr="00B07BE5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pStyle w:val="Default"/>
        <w:spacing w:before="120" w:after="120" w:line="360" w:lineRule="auto"/>
        <w:jc w:val="both"/>
        <w:rPr>
          <w:b/>
          <w:color w:val="auto"/>
        </w:rPr>
      </w:pPr>
      <w:r w:rsidRPr="00B07BE5">
        <w:rPr>
          <w:b/>
          <w:color w:val="auto"/>
        </w:rPr>
        <w:t>Przedmiot zjazdu: Prawo rodzinne i opiekuńcze – proces</w:t>
      </w:r>
    </w:p>
    <w:p w:rsidR="00630144" w:rsidRPr="00B07BE5" w:rsidRDefault="00630144" w:rsidP="00630144">
      <w:pPr>
        <w:tabs>
          <w:tab w:val="left" w:pos="851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07BE5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07BE5">
        <w:rPr>
          <w:rFonts w:ascii="Times New Roman" w:hAnsi="Times New Roman" w:cs="Times New Roman"/>
          <w:sz w:val="24"/>
          <w:szCs w:val="24"/>
        </w:rPr>
        <w:t xml:space="preserve"> należy poświęcić szczególną uwagę zagadnieniem prawa rodzinnego, które obejmują: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pochodzenie dziecka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rozwiązanie przysposobienia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roszczenia alimentacyjne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ustanowienie rozdzielności majątkowej między małżonkami. </w:t>
      </w: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W zakresie prawa procesowego należy szczególną uwagę poświęcić następującym zagadnieniom: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 właściwość rzeczowa i miejscowa w poszczególnych sprawach rodzinnych rozpoznawanych w postępowaniu procesowym; 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reprezentacja osób małoletnich w procesie;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udział prokuratora i organizacji społecznych w postępowaniu w sprawach rodzinnych;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legitymacja czynna i bierna w sprawach rodzinnych rozpoznawanych w postępowaniu procesowym;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zabezpieczające w zakresie alimentów i kontaktów z dzieckiem;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lastRenderedPageBreak/>
        <w:t>odrębności procedury w sprawach rodzinnych rozpoznawanych w procesie, w szczególności w sprawach ze stosunków między rodzicami a dziećmi; specyfika postępowania dowodowego w tych sprawach;</w:t>
      </w:r>
    </w:p>
    <w:p w:rsidR="00630144" w:rsidRPr="00B07BE5" w:rsidRDefault="00630144" w:rsidP="00630144">
      <w:pPr>
        <w:pStyle w:val="Akapitzlist"/>
        <w:widowControl w:val="0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zależność między postępowaniem o rozwód lub separację toczącym się przed sądem okręgowym a postępowaniem w sprawach o zaspokojenie potrzeb rodziny lub o alimenty oraz w sprawach dotyczących władzy rodzicielskiej nad wspólnymi dziećmi stron lub ustalenia kontaktów toczącymi się w sądzie rejonowym.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ramach praktyki należy także zapoznać aplikantów z problematyką alternatywnych metod rozwiązywania sporów w sprawach rodzinnych, </w:t>
      </w:r>
      <w:r w:rsidRPr="00B07BE5">
        <w:rPr>
          <w:rFonts w:ascii="Times New Roman" w:hAnsi="Times New Roman" w:cs="Times New Roman"/>
          <w:b/>
          <w:sz w:val="24"/>
          <w:szCs w:val="24"/>
        </w:rPr>
        <w:t>w tym mediacji rodzinnej</w:t>
      </w:r>
      <w:r w:rsidRPr="00B07BE5">
        <w:rPr>
          <w:rFonts w:ascii="Times New Roman" w:hAnsi="Times New Roman" w:cs="Times New Roman"/>
          <w:sz w:val="24"/>
          <w:szCs w:val="24"/>
        </w:rPr>
        <w:t xml:space="preserve">, porozumień małżonków o sposobie wykonywania władzy rodzicielskiej i utrzymywaniu kontaktów z dzieckiem oraz zakresu związania tym porozumieniem, jak również ugód sądowych w sprawach rodzinnych.  </w:t>
      </w:r>
    </w:p>
    <w:p w:rsidR="00630144" w:rsidRPr="00576530" w:rsidRDefault="00630144" w:rsidP="00630144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Szczególną uwagę należy poświęcić sprawom rodzinnym z elementem zagranicznym, a zwłaszcza problematyce ustalania jurysdykcji i prawa właściwego w sprawach rodzinnych, w tym kwestiom uregulowanym w </w:t>
      </w:r>
      <w:bookmarkStart w:id="1" w:name="docTitle"/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"https://sip.lex.pl/" \l "/act/67842047/2478273/rozporzadzenie-4-2009-w-sprawie-jurysdykcji-prawa-wlasciwego-uznawania-i-wykonywania-orzeczen...?keyword=4~2F2009%20Rozporz%C4%85dzenie%20UE&amp;cm=SFIRST" </w:instrTex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576530">
        <w:rPr>
          <w:rStyle w:val="Uwydatnieni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Rozporządzeniu 4/2009</w:t>
      </w:r>
      <w:r w:rsidRPr="00576530">
        <w:rPr>
          <w:rStyle w:val="Pogrubieni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576530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 sprawie jurysdykcji, prawa właściwego, uznawania i wykonywania orzeczeń oraz współpracy w zakresie zobowiązań alimentacyjnych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1"/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oraz Rozporządzeniu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ady (UE) 2019/1111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z dnia 25 czerwca 2019 r. w sprawie jurysdykcji, uznawania i wykonywania orzeczeń w sprawach małżeńskich i w sprawach dotyczących odpowiedzialności rodzicielskiej oraz w sprawie uprowadzenia dziecka za granicę (wersja przekształcona)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ramach zjazdu 22 aplikanci omawiać będą również zagadnienia dotyczące zadań i funkcjonowania </w:t>
      </w:r>
      <w:r w:rsidRPr="00B07BE5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>Opiniodawczych Zespołów Sądowych Specjalistów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, stąd celowym jest także zapoznanie aplikantów z praktycznymi aspektami działalności tych Zespołów oraz formułowaniem postanowień dowodowych kierowanych do tych Zespołów w poszczególnych kategoriach spraw.</w:t>
      </w:r>
      <w:r w:rsidRPr="00B07B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0144" w:rsidRPr="00B07BE5" w:rsidRDefault="00630144" w:rsidP="00630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sporządzenie co najmniej jednego projektu orzeczenia końcowego wraz z uzasadnieniem (oraz zarządzeniami)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5C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w sprawie o ustalenie/zaprzeczenie pochodzenia dziecka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85C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w sprawie o alimenty (zasądzenie, podwyższenie, obniżenie, uchylenie)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5C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w sprawie o ustanowienie rozdzielności majątkowej między małżonkami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Pr="00C119D7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C2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27">
        <w:rPr>
          <w:rFonts w:ascii="Times New Roman" w:hAnsi="Times New Roman" w:cs="Times New Roman"/>
          <w:sz w:val="24"/>
          <w:szCs w:val="24"/>
        </w:rPr>
        <w:t>w spawie</w:t>
      </w:r>
      <w:r w:rsidRPr="00B07BE5">
        <w:rPr>
          <w:rFonts w:ascii="Times New Roman" w:hAnsi="Times New Roman" w:cs="Times New Roman"/>
          <w:sz w:val="24"/>
          <w:szCs w:val="24"/>
        </w:rPr>
        <w:t xml:space="preserve"> w przedmiocie zabezpieczenia w sprawie dotyczącej pochodzenia dziecka lub w sprawie alimentacyjnej, pozbawienie, ograniczenie, zawieszenie i przywrócenie władzy rodzicielskiej;</w:t>
      </w:r>
    </w:p>
    <w:p w:rsidR="00630144" w:rsidRPr="00B07BE5" w:rsidRDefault="00630144" w:rsidP="00630144">
      <w:pPr>
        <w:pStyle w:val="Teksttreci60"/>
        <w:shd w:val="clear" w:color="auto" w:fill="auto"/>
        <w:tabs>
          <w:tab w:val="left" w:pos="1276"/>
          <w:tab w:val="left" w:leader="dot" w:pos="3810"/>
        </w:tabs>
        <w:spacing w:before="120" w:after="120" w:line="360" w:lineRule="auto"/>
        <w:ind w:left="993"/>
        <w:jc w:val="both"/>
        <w:rPr>
          <w:sz w:val="24"/>
          <w:szCs w:val="24"/>
        </w:rPr>
      </w:pP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4"/>
        </w:tabs>
        <w:spacing w:line="360" w:lineRule="auto"/>
        <w:jc w:val="center"/>
        <w:rPr>
          <w:b/>
          <w:sz w:val="24"/>
          <w:szCs w:val="24"/>
        </w:rPr>
      </w:pPr>
      <w:r w:rsidRPr="00B07BE5">
        <w:rPr>
          <w:b/>
          <w:sz w:val="24"/>
          <w:szCs w:val="24"/>
        </w:rPr>
        <w:t>III.2. ZALECENIA W SPRAWIE PRAKTYK PO 23 ZJEŹDZIE</w:t>
      </w: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4"/>
        </w:tabs>
        <w:spacing w:line="360" w:lineRule="auto"/>
        <w:ind w:firstLine="567"/>
        <w:jc w:val="both"/>
        <w:rPr>
          <w:b/>
          <w:sz w:val="24"/>
          <w:szCs w:val="24"/>
        </w:rPr>
      </w:pPr>
    </w:p>
    <w:p w:rsidR="00630144" w:rsidRPr="00B07BE5" w:rsidRDefault="00630144" w:rsidP="00630144">
      <w:pPr>
        <w:pStyle w:val="Default"/>
        <w:spacing w:line="360" w:lineRule="auto"/>
        <w:rPr>
          <w:color w:val="auto"/>
        </w:rPr>
      </w:pPr>
      <w:r w:rsidRPr="00B07BE5">
        <w:rPr>
          <w:b/>
          <w:color w:val="auto"/>
        </w:rPr>
        <w:t xml:space="preserve">Przedmiot zjazdu: </w:t>
      </w:r>
      <w:r w:rsidRPr="00B07BE5">
        <w:rPr>
          <w:bCs/>
          <w:color w:val="auto"/>
        </w:rPr>
        <w:t>Prawo rodzinne – postępowanie nieprocesowe, postępowanie w sprawach nieletnich.</w:t>
      </w:r>
    </w:p>
    <w:p w:rsidR="00630144" w:rsidRPr="00B07BE5" w:rsidRDefault="00630144" w:rsidP="00630144">
      <w:pPr>
        <w:pStyle w:val="Default"/>
        <w:spacing w:line="360" w:lineRule="auto"/>
        <w:rPr>
          <w:color w:val="auto"/>
        </w:rPr>
      </w:pPr>
    </w:p>
    <w:p w:rsidR="00630144" w:rsidRPr="00B07BE5" w:rsidRDefault="00630144" w:rsidP="00630144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B07BE5">
        <w:rPr>
          <w:color w:val="auto"/>
        </w:rPr>
        <w:t xml:space="preserve">W zakresie </w:t>
      </w:r>
      <w:r w:rsidRPr="00B07BE5">
        <w:rPr>
          <w:b/>
          <w:color w:val="auto"/>
        </w:rPr>
        <w:t>spraw rodzinnych rozpoznawanych</w:t>
      </w:r>
      <w:r w:rsidRPr="00B07BE5">
        <w:rPr>
          <w:color w:val="auto"/>
        </w:rPr>
        <w:t xml:space="preserve"> </w:t>
      </w:r>
      <w:r w:rsidRPr="00B07BE5">
        <w:rPr>
          <w:b/>
          <w:color w:val="auto"/>
        </w:rPr>
        <w:t xml:space="preserve">w postępowaniu nieprocesowym oraz spraw opiekuńczych </w:t>
      </w:r>
      <w:r w:rsidRPr="00B07BE5">
        <w:rPr>
          <w:color w:val="auto"/>
        </w:rPr>
        <w:t xml:space="preserve">szczególnie istotne są następujące zagadnienia z zakresu </w:t>
      </w:r>
      <w:r w:rsidRPr="00B07BE5">
        <w:rPr>
          <w:color w:val="auto"/>
          <w:u w:val="single"/>
        </w:rPr>
        <w:t>prawa materialnego</w:t>
      </w:r>
      <w:r w:rsidRPr="00B07BE5">
        <w:rPr>
          <w:color w:val="auto"/>
        </w:rPr>
        <w:t>:</w:t>
      </w:r>
    </w:p>
    <w:p w:rsidR="00630144" w:rsidRPr="00B07BE5" w:rsidRDefault="00630144" w:rsidP="00630144">
      <w:pPr>
        <w:pStyle w:val="Default"/>
        <w:spacing w:line="360" w:lineRule="auto"/>
        <w:ind w:left="720"/>
        <w:rPr>
          <w:color w:val="auto"/>
        </w:rPr>
      </w:pP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wykonywanie władzy rodzicielskiej (pozbawienie, ograniczenie, zawieszenie, przywrócenie władzy rodzicielskiej);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piecza zastępcza (rodzinna, instytucjonalna); rozstrzyganie o istotnych sprawach dziecka; zarząd majątkiem dziecka; uregulowanie i wykonywanie kontaktów z dzieckiem; odebranie dziecka;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przysposobienie (krajowe i zagraniczne); opieka i kuratela; przeciwdziałanie przemocy w rodzinie; sprawy rozpoznawane na gruncie Konwencji dotyczącej cywilnych aspektów uprowadzenia dziecka za granicę, 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sprawy rozpoznawane na podstawie przepisów ustaw: o ochronie zdrowia psychicznego, o wychowaniu w trzeźwości i przeciwdziałaniu alkoholizmowi, o zawodach lekarza i lekarza dentysty, o pobieraniu, przechowywaniu i przeszczepianiu komórek, tkanek i narządów, o planowaniu rodziny, ochronie płodu ludzkiego i warunkach dopuszczalności przerywania ciąży. </w:t>
      </w:r>
    </w:p>
    <w:p w:rsidR="00630144" w:rsidRPr="00B07BE5" w:rsidRDefault="00630144" w:rsidP="00630144">
      <w:pPr>
        <w:spacing w:line="36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Istotne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zagadnienia</w:t>
      </w:r>
      <w:r w:rsidRPr="00B07B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proceduralne</w:t>
      </w:r>
      <w:r w:rsidRPr="00B07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działanie sądu rodzinnego z urzędu; przebieg postępowania opiekuńczego od momentu zawiadomienia o zdarzeniu uzasadniającym wszczęcie postępowania z urzędu do </w:t>
      </w:r>
      <w:r w:rsidRPr="00B07BE5">
        <w:rPr>
          <w:rFonts w:ascii="Times New Roman" w:hAnsi="Times New Roman" w:cs="Times New Roman"/>
          <w:sz w:val="24"/>
          <w:szCs w:val="24"/>
        </w:rPr>
        <w:lastRenderedPageBreak/>
        <w:t>zakończenia postępowania rozpoznawczego;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status małoletniego w sprawach opiekuńczych, wysłuchanie małoletniego; skuteczność, wykonalność i prawomocność orzeczeń wydawanych w sprawach opiekuńczych, możliwość zmiany prawomocnego orzeczenia; 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koszty postępowania, przyznawanie opiekunowi prawnemu lub kuratorowi wynagrodzenia za pełnienie tych funkcji.</w:t>
      </w:r>
    </w:p>
    <w:p w:rsidR="00630144" w:rsidRPr="00B07BE5" w:rsidRDefault="00630144" w:rsidP="00630144">
      <w:pPr>
        <w:widowControl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Default="00630144" w:rsidP="00630144">
      <w:pPr>
        <w:pStyle w:val="Nagwek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zakresie spraw rozpoznawanych na podstawie przepisów ustawy o wspieraniu i resocjalizacji </w:t>
      </w:r>
      <w:r w:rsidRPr="00576530">
        <w:rPr>
          <w:rStyle w:val="Uwydatnienie"/>
          <w:rFonts w:ascii="Times New Roman" w:hAnsi="Times New Roman" w:cs="Times New Roman"/>
          <w:b w:val="0"/>
          <w:color w:val="auto"/>
          <w:sz w:val="24"/>
          <w:szCs w:val="24"/>
        </w:rPr>
        <w:t>nieletnich</w:t>
      </w:r>
      <w:r w:rsidRPr="00B07BE5">
        <w:rPr>
          <w:rStyle w:val="Uwydatn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color w:val="auto"/>
          <w:sz w:val="24"/>
          <w:szCs w:val="24"/>
        </w:rPr>
        <w:t xml:space="preserve">szczególnie istotne są następujące zagadnienia z zakresu </w:t>
      </w:r>
      <w:r w:rsidRPr="00B07BE5">
        <w:rPr>
          <w:rFonts w:ascii="Times New Roman" w:hAnsi="Times New Roman" w:cs="Times New Roman"/>
          <w:color w:val="auto"/>
          <w:sz w:val="24"/>
          <w:szCs w:val="24"/>
          <w:u w:val="single"/>
        </w:rPr>
        <w:t>prawa materialnego:</w:t>
      </w:r>
    </w:p>
    <w:p w:rsidR="00630144" w:rsidRPr="00576530" w:rsidRDefault="00630144" w:rsidP="00630144">
      <w:pPr>
        <w:spacing w:line="360" w:lineRule="auto"/>
      </w:pP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zakres przedmiotowy i podmiotowy stosowania ustawy  o wspieraniu i resocjalizacji nieletnich;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pojęcie demoralizacji i czynu karalnego; środki wychowawcze, środek leczniczy, środek poprawczy oraz zasady i przesłanki stosowania tych środków;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nakładanie obowiązków na rodziców i opiekunów; stosowanie środków tymczasowych; umieszczenie nieletniego w schronisku dla nieletnich; nadzór sędziego nad przestrzeganiem przepisów w zakresie zatrzymania nieletniego i umieszczenia w policyjnej izbie dziecka;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zmiana lub uchylenie środka wychowawczego; odwołanie warunkowego zawieszenia  lub warunkowego zwolnienia z zakładu poprawczego.</w:t>
      </w:r>
    </w:p>
    <w:p w:rsidR="00630144" w:rsidRPr="00B07BE5" w:rsidRDefault="00630144" w:rsidP="00630144">
      <w:pPr>
        <w:spacing w:before="12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Istotne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zagadnienia</w:t>
      </w:r>
      <w:r w:rsidRPr="00B07B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proceduralne</w:t>
      </w:r>
      <w:r w:rsidRPr="00B07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odpowiednie stosowanie przepisów Kodeksu postępowania cywilnego oraz przepisów Kodeksu postępowania karnego w sprawach nieletnich wszczętych na podstawie </w:t>
      </w:r>
      <w:r w:rsidRPr="00B07BE5">
        <w:rPr>
          <w:rFonts w:ascii="Times New Roman" w:hAnsi="Times New Roman" w:cs="Times New Roman"/>
          <w:b/>
          <w:sz w:val="24"/>
          <w:szCs w:val="24"/>
        </w:rPr>
        <w:t>ustawy o wspieraniu i resocjalizacji nieletnich,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bieg postępowania w sprawie nieletniego od zawiadomienia o podejrzeniu dopuszczenia się popełnienia czynu karalnego lub o zrachowaniach świadczących o uleganiu procesowi demoralizacji do zakończenia postępowania rozpoznawczego;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lastRenderedPageBreak/>
        <w:t xml:space="preserve">strony postępowania; uprawnienia pokrzywdzonego, który nie jest stroną; przypadki obligatoryjnej obrony; właściwość rzeczowa sądu;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podejmowanie decyzj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i na procesowych na etapie postępowania rozpoznawczego w I instancji i wykonawczego;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przebieg rozprawy lub posiedzenia, w tym wysłuchanie nieletniego; wydawanie postanowień o zastosowaniu środka tymczasowego w postaci umieszczenia nieletniego w schronisku dla nieletnich oraz zarządzeń dotyczących ustalenia miejsca w schronisku; doprowadzenie nieletniego do schroniska; przedłużanie pobytu w schronisku;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dowodowe, w tym zlecenie wywiadu, opinii biegłych w trakcie pobytu nieletniego w schronisku lub opinii opiniodawczego zespołu sądowych specjalistów;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doręczanie postanowień i zawiadomień;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 xml:space="preserve">konstruowanie orzeczenia kończącego postępowanie w sprawie, w szczególności orzeczenia o zastosowaniu środków wychowawczych, środka leczniczego  lub środka poprawczego 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wydawanie postanowienia o przekazaniu sprawy prokuratorowi, jeżeli w toku postępowania wyjaśniającego ujawnione zostaną okoliczności uzasadniające orzeczenie wobec nieletniego kary na podstawie art. 10 § 2 k.k.;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wydawanie postanowienia o przekazaniu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sprawy nieletniego szkole, do której nieletni uczęszcza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albo organizacjom przewidzianym w ustawie.</w:t>
      </w:r>
    </w:p>
    <w:p w:rsidR="00630144" w:rsidRPr="00B07BE5" w:rsidRDefault="00630144" w:rsidP="00630144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630144" w:rsidRPr="00657F27" w:rsidRDefault="00630144" w:rsidP="00630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Sporządzenie projektów następujących orzeczeń</w:t>
      </w:r>
      <w:r w:rsidR="00657F27">
        <w:rPr>
          <w:rFonts w:ascii="Times New Roman" w:hAnsi="Times New Roman" w:cs="Times New Roman"/>
          <w:sz w:val="24"/>
          <w:szCs w:val="24"/>
        </w:rPr>
        <w:t xml:space="preserve"> (co najmniej jednego)</w:t>
      </w:r>
      <w:r w:rsidRPr="00B07BE5">
        <w:rPr>
          <w:rFonts w:ascii="Times New Roman" w:hAnsi="Times New Roman" w:cs="Times New Roman"/>
          <w:sz w:val="24"/>
          <w:szCs w:val="24"/>
        </w:rPr>
        <w:t xml:space="preserve">, </w:t>
      </w:r>
      <w:r w:rsidRPr="00B07BE5">
        <w:rPr>
          <w:rFonts w:ascii="Times New Roman" w:hAnsi="Times New Roman" w:cs="Times New Roman"/>
          <w:sz w:val="24"/>
          <w:szCs w:val="24"/>
          <w:u w:val="single"/>
        </w:rPr>
        <w:t xml:space="preserve">wraz </w:t>
      </w:r>
      <w:r>
        <w:rPr>
          <w:rFonts w:ascii="Times New Roman" w:hAnsi="Times New Roman" w:cs="Times New Roman"/>
          <w:sz w:val="24"/>
          <w:szCs w:val="24"/>
          <w:u w:val="single"/>
        </w:rPr>
        <w:t>z uzasadnieniem i zarządzeniami</w:t>
      </w:r>
      <w:r w:rsidRPr="00B07B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 sprawach: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uregulowanie lub wykonywanie kontaktów z dzieckiem;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wydanie rozstrzygnięcia o istotnych sprawach dziecka lub o wyrażenie zgody na dokonanie czynności przekraczających zakres zwykłego zarządu majątkiem dziecka;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 zakresu opieki lub kurateli;</w:t>
      </w:r>
    </w:p>
    <w:p w:rsidR="00630144" w:rsidRPr="00B07BE5" w:rsidRDefault="00630144" w:rsidP="0063014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rozpoznawanych na podstawie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576530">
        <w:rPr>
          <w:rFonts w:ascii="Times New Roman" w:hAnsi="Times New Roman" w:cs="Times New Roman"/>
          <w:sz w:val="24"/>
          <w:szCs w:val="24"/>
        </w:rPr>
        <w:t xml:space="preserve"> o wspieraniu i resocjalizacji nieletnich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144" w:rsidRDefault="00630144" w:rsidP="0063014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30144" w:rsidRPr="00585C24" w:rsidRDefault="00630144" w:rsidP="00630144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:rsidR="00630144" w:rsidRPr="00585C24" w:rsidRDefault="00630144" w:rsidP="00630144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144" w:rsidRPr="00585C24" w:rsidRDefault="00630144" w:rsidP="00630144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:rsidR="00630144" w:rsidRPr="00585C24" w:rsidRDefault="00630144" w:rsidP="00630144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p w:rsidR="00630144" w:rsidRPr="00B07BE5" w:rsidRDefault="00630144" w:rsidP="006301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0"/>
        </w:tabs>
        <w:spacing w:before="120" w:after="120" w:line="360" w:lineRule="auto"/>
        <w:jc w:val="both"/>
        <w:rPr>
          <w:sz w:val="24"/>
          <w:szCs w:val="24"/>
        </w:rPr>
      </w:pPr>
    </w:p>
    <w:p w:rsidR="00630144" w:rsidRDefault="00630144"/>
    <w:sectPr w:rsidR="006301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7B" w:rsidRDefault="00504B7B">
      <w:pPr>
        <w:spacing w:after="0" w:line="240" w:lineRule="auto"/>
      </w:pPr>
      <w:r>
        <w:separator/>
      </w:r>
    </w:p>
  </w:endnote>
  <w:endnote w:type="continuationSeparator" w:id="0">
    <w:p w:rsidR="00504B7B" w:rsidRDefault="0050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18075"/>
      <w:docPartObj>
        <w:docPartGallery w:val="Page Numbers (Bottom of Page)"/>
        <w:docPartUnique/>
      </w:docPartObj>
    </w:sdtPr>
    <w:sdtEndPr/>
    <w:sdtContent>
      <w:p w:rsidR="007A3737" w:rsidRDefault="001669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DA6">
          <w:rPr>
            <w:noProof/>
          </w:rPr>
          <w:t>2</w:t>
        </w:r>
        <w:r>
          <w:fldChar w:fldCharType="end"/>
        </w:r>
      </w:p>
    </w:sdtContent>
  </w:sdt>
  <w:p w:rsidR="007A3737" w:rsidRDefault="00504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7B" w:rsidRDefault="00504B7B">
      <w:pPr>
        <w:spacing w:after="0" w:line="240" w:lineRule="auto"/>
      </w:pPr>
      <w:r>
        <w:separator/>
      </w:r>
    </w:p>
  </w:footnote>
  <w:footnote w:type="continuationSeparator" w:id="0">
    <w:p w:rsidR="00504B7B" w:rsidRDefault="00504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D1"/>
    <w:multiLevelType w:val="hybridMultilevel"/>
    <w:tmpl w:val="3DF2FAC8"/>
    <w:lvl w:ilvl="0" w:tplc="77A0A36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65A21"/>
    <w:multiLevelType w:val="hybridMultilevel"/>
    <w:tmpl w:val="208AC52E"/>
    <w:lvl w:ilvl="0" w:tplc="221CFC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452BD"/>
    <w:multiLevelType w:val="hybridMultilevel"/>
    <w:tmpl w:val="3F9E015C"/>
    <w:lvl w:ilvl="0" w:tplc="A41414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48A026A"/>
    <w:multiLevelType w:val="hybridMultilevel"/>
    <w:tmpl w:val="2496D05E"/>
    <w:lvl w:ilvl="0" w:tplc="57105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70DA2"/>
    <w:multiLevelType w:val="hybridMultilevel"/>
    <w:tmpl w:val="DC5A161C"/>
    <w:lvl w:ilvl="0" w:tplc="7A207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702CE9"/>
    <w:multiLevelType w:val="hybridMultilevel"/>
    <w:tmpl w:val="59A2F788"/>
    <w:lvl w:ilvl="0" w:tplc="BD4E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617B1"/>
    <w:multiLevelType w:val="hybridMultilevel"/>
    <w:tmpl w:val="A27E22FA"/>
    <w:lvl w:ilvl="0" w:tplc="1DDCC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307AB5"/>
    <w:multiLevelType w:val="hybridMultilevel"/>
    <w:tmpl w:val="5540E1FE"/>
    <w:lvl w:ilvl="0" w:tplc="861ECA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4"/>
    <w:rsid w:val="00166926"/>
    <w:rsid w:val="00504B7B"/>
    <w:rsid w:val="00630144"/>
    <w:rsid w:val="00657F27"/>
    <w:rsid w:val="00EF73B4"/>
    <w:rsid w:val="00F13DA6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1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1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30144"/>
    <w:pPr>
      <w:ind w:left="720"/>
      <w:contextualSpacing/>
    </w:pPr>
  </w:style>
  <w:style w:type="table" w:styleId="Tabela-Siatka">
    <w:name w:val="Table Grid"/>
    <w:basedOn w:val="Standardowy"/>
    <w:uiPriority w:val="39"/>
    <w:rsid w:val="006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6301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301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3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144"/>
  </w:style>
  <w:style w:type="character" w:styleId="Hipercze">
    <w:name w:val="Hyperlink"/>
    <w:basedOn w:val="Domylnaczcionkaakapitu"/>
    <w:uiPriority w:val="99"/>
    <w:unhideWhenUsed/>
    <w:rsid w:val="00630144"/>
    <w:rPr>
      <w:color w:val="0563C1" w:themeColor="hyperlink"/>
      <w:u w:val="single"/>
    </w:rPr>
  </w:style>
  <w:style w:type="paragraph" w:customStyle="1" w:styleId="Default">
    <w:name w:val="Default"/>
    <w:rsid w:val="00630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144"/>
    <w:rPr>
      <w:i/>
      <w:iCs/>
    </w:rPr>
  </w:style>
  <w:style w:type="character" w:styleId="Pogrubienie">
    <w:name w:val="Strong"/>
    <w:basedOn w:val="Domylnaczcionkaakapitu"/>
    <w:uiPriority w:val="22"/>
    <w:qFormat/>
    <w:rsid w:val="00630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1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1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30144"/>
    <w:pPr>
      <w:ind w:left="720"/>
      <w:contextualSpacing/>
    </w:pPr>
  </w:style>
  <w:style w:type="table" w:styleId="Tabela-Siatka">
    <w:name w:val="Table Grid"/>
    <w:basedOn w:val="Standardowy"/>
    <w:uiPriority w:val="39"/>
    <w:rsid w:val="006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6301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301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3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144"/>
  </w:style>
  <w:style w:type="character" w:styleId="Hipercze">
    <w:name w:val="Hyperlink"/>
    <w:basedOn w:val="Domylnaczcionkaakapitu"/>
    <w:uiPriority w:val="99"/>
    <w:unhideWhenUsed/>
    <w:rsid w:val="00630144"/>
    <w:rPr>
      <w:color w:val="0563C1" w:themeColor="hyperlink"/>
      <w:u w:val="single"/>
    </w:rPr>
  </w:style>
  <w:style w:type="paragraph" w:customStyle="1" w:styleId="Default">
    <w:name w:val="Default"/>
    <w:rsid w:val="00630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144"/>
    <w:rPr>
      <w:i/>
      <w:iCs/>
    </w:rPr>
  </w:style>
  <w:style w:type="character" w:styleId="Pogrubienie">
    <w:name w:val="Strong"/>
    <w:basedOn w:val="Domylnaczcionkaakapitu"/>
    <w:uiPriority w:val="22"/>
    <w:qFormat/>
    <w:rsid w:val="0063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Marcin Szkotak</cp:lastModifiedBy>
  <cp:revision>2</cp:revision>
  <dcterms:created xsi:type="dcterms:W3CDTF">2023-11-02T11:16:00Z</dcterms:created>
  <dcterms:modified xsi:type="dcterms:W3CDTF">2023-11-02T11:16:00Z</dcterms:modified>
</cp:coreProperties>
</file>