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E286" w14:textId="77777777" w:rsidR="00A24D29" w:rsidRPr="005F004A" w:rsidRDefault="00A24D29" w:rsidP="005F004A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Pr="005F004A" w:rsidRDefault="007C3A8C" w:rsidP="005F004A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r w:rsidRPr="005F004A">
        <w:rPr>
          <w:noProof/>
        </w:rPr>
        <w:drawing>
          <wp:anchor distT="0" distB="0" distL="114300" distR="114300" simplePos="0" relativeHeight="251658240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04A">
        <w:rPr>
          <w:spacing w:val="20"/>
        </w:rPr>
        <w:t xml:space="preserve"> </w:t>
      </w:r>
    </w:p>
    <w:p w14:paraId="26BC11B7" w14:textId="77777777" w:rsidR="007C3A8C" w:rsidRPr="005F004A" w:rsidRDefault="007C3A8C" w:rsidP="005F004A">
      <w:pPr>
        <w:pStyle w:val="Nagwek"/>
        <w:spacing w:line="360" w:lineRule="auto"/>
        <w:ind w:right="4959"/>
        <w:jc w:val="center"/>
        <w:rPr>
          <w:b/>
        </w:rPr>
      </w:pPr>
    </w:p>
    <w:p w14:paraId="62D3B3CA" w14:textId="77777777" w:rsidR="007C3A8C" w:rsidRPr="005F004A" w:rsidRDefault="007C3A8C" w:rsidP="005F004A">
      <w:pPr>
        <w:pStyle w:val="Nagwek"/>
        <w:spacing w:line="360" w:lineRule="auto"/>
        <w:ind w:left="-851" w:right="5526"/>
        <w:jc w:val="center"/>
        <w:rPr>
          <w:b/>
        </w:rPr>
      </w:pPr>
      <w:r w:rsidRPr="005F004A">
        <w:rPr>
          <w:b/>
        </w:rPr>
        <w:t>KRAJOWA SZKOŁA</w:t>
      </w:r>
    </w:p>
    <w:p w14:paraId="6EA534E8" w14:textId="044D3524" w:rsidR="007C3A8C" w:rsidRDefault="007C3A8C" w:rsidP="005F004A">
      <w:pPr>
        <w:pStyle w:val="Nagwek"/>
        <w:spacing w:line="360" w:lineRule="auto"/>
        <w:ind w:left="-851" w:right="5526"/>
        <w:jc w:val="center"/>
        <w:rPr>
          <w:b/>
        </w:rPr>
      </w:pPr>
      <w:r w:rsidRPr="005F004A">
        <w:rPr>
          <w:b/>
        </w:rPr>
        <w:t xml:space="preserve"> SĄDOWNICTWA I PROKURATURY</w:t>
      </w:r>
    </w:p>
    <w:p w14:paraId="20FC585B" w14:textId="0BD67055" w:rsidR="00130012" w:rsidRDefault="00130012" w:rsidP="005F004A">
      <w:pPr>
        <w:pStyle w:val="Nagwek"/>
        <w:spacing w:line="360" w:lineRule="auto"/>
        <w:ind w:left="-851" w:right="5526"/>
        <w:jc w:val="center"/>
        <w:rPr>
          <w:b/>
        </w:rPr>
      </w:pPr>
    </w:p>
    <w:p w14:paraId="3CA0151E" w14:textId="6456E821" w:rsidR="00130012" w:rsidRPr="00130012" w:rsidRDefault="00130012" w:rsidP="005F004A">
      <w:pPr>
        <w:pStyle w:val="Nagwek"/>
        <w:spacing w:line="360" w:lineRule="auto"/>
        <w:ind w:left="-851" w:right="5526"/>
        <w:jc w:val="center"/>
        <w:rPr>
          <w:b/>
        </w:rPr>
      </w:pPr>
      <w:r w:rsidRPr="00130012">
        <w:rPr>
          <w:rFonts w:eastAsiaTheme="minorHAnsi"/>
          <w:b/>
          <w:bCs/>
          <w:color w:val="000000"/>
        </w:rPr>
        <w:t>OAS-II.420.35.2021</w:t>
      </w:r>
    </w:p>
    <w:p w14:paraId="52EB9108" w14:textId="77777777" w:rsidR="007C3A8C" w:rsidRPr="005F004A" w:rsidRDefault="007C3A8C" w:rsidP="005F004A">
      <w:pPr>
        <w:pStyle w:val="Nagwek"/>
        <w:spacing w:line="360" w:lineRule="auto"/>
        <w:ind w:right="4392" w:hanging="283"/>
        <w:rPr>
          <w:b/>
        </w:rPr>
      </w:pPr>
    </w:p>
    <w:p w14:paraId="3227B759" w14:textId="479F07B2" w:rsidR="007C3A8C" w:rsidRPr="005F004A" w:rsidRDefault="007C3A8C" w:rsidP="005F004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 xml:space="preserve">Kraków, </w:t>
      </w:r>
      <w:r w:rsidR="004F2A42">
        <w:rPr>
          <w:rFonts w:ascii="Times New Roman" w:hAnsi="Times New Roman"/>
          <w:sz w:val="24"/>
          <w:szCs w:val="24"/>
        </w:rPr>
        <w:t>25</w:t>
      </w:r>
      <w:r w:rsidR="00A41834" w:rsidRPr="005F004A">
        <w:rPr>
          <w:rFonts w:ascii="Times New Roman" w:hAnsi="Times New Roman"/>
          <w:sz w:val="24"/>
          <w:szCs w:val="24"/>
        </w:rPr>
        <w:t xml:space="preserve"> sierpnia </w:t>
      </w:r>
      <w:r w:rsidR="000C5FFA" w:rsidRPr="005F004A">
        <w:rPr>
          <w:rFonts w:ascii="Times New Roman" w:hAnsi="Times New Roman"/>
          <w:sz w:val="24"/>
          <w:szCs w:val="24"/>
        </w:rPr>
        <w:t>2021</w:t>
      </w:r>
      <w:r w:rsidR="004C3A21" w:rsidRPr="005F004A">
        <w:rPr>
          <w:rFonts w:ascii="Times New Roman" w:hAnsi="Times New Roman"/>
          <w:sz w:val="24"/>
          <w:szCs w:val="24"/>
        </w:rPr>
        <w:t xml:space="preserve"> r</w:t>
      </w:r>
      <w:r w:rsidRPr="005F004A">
        <w:rPr>
          <w:rFonts w:ascii="Times New Roman" w:hAnsi="Times New Roman"/>
          <w:sz w:val="24"/>
          <w:szCs w:val="24"/>
        </w:rPr>
        <w:t>.</w:t>
      </w:r>
    </w:p>
    <w:p w14:paraId="69B988B4" w14:textId="77777777" w:rsidR="00130012" w:rsidRDefault="00130012" w:rsidP="005F004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DB2A57" w14:textId="1092C5C3" w:rsidR="007C3A8C" w:rsidRPr="005F004A" w:rsidRDefault="00130012" w:rsidP="005F004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F004A">
        <w:rPr>
          <w:rFonts w:ascii="Times New Roman" w:hAnsi="Times New Roman"/>
          <w:i/>
          <w:sz w:val="24"/>
          <w:szCs w:val="24"/>
        </w:rPr>
        <w:t xml:space="preserve"> </w:t>
      </w:r>
      <w:r w:rsidR="007C3A8C" w:rsidRPr="005F004A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0C5FFA" w:rsidRPr="005F004A">
        <w:rPr>
          <w:rFonts w:ascii="Times New Roman" w:hAnsi="Times New Roman"/>
          <w:i/>
          <w:sz w:val="24"/>
          <w:szCs w:val="24"/>
        </w:rPr>
        <w:t>1</w:t>
      </w:r>
      <w:r w:rsidR="007C3A8C" w:rsidRPr="005F004A">
        <w:rPr>
          <w:rFonts w:ascii="Times New Roman" w:hAnsi="Times New Roman"/>
          <w:i/>
          <w:sz w:val="24"/>
          <w:szCs w:val="24"/>
        </w:rPr>
        <w:t xml:space="preserve"> roczni</w:t>
      </w:r>
      <w:r w:rsidR="001810FD" w:rsidRPr="005F004A">
        <w:rPr>
          <w:rFonts w:ascii="Times New Roman" w:hAnsi="Times New Roman"/>
          <w:i/>
          <w:sz w:val="24"/>
          <w:szCs w:val="24"/>
        </w:rPr>
        <w:t xml:space="preserve">ka aplikacji </w:t>
      </w:r>
      <w:r w:rsidR="00A41834" w:rsidRPr="005F004A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1810FD" w:rsidRPr="005F004A">
        <w:rPr>
          <w:rFonts w:ascii="Times New Roman" w:hAnsi="Times New Roman"/>
          <w:i/>
          <w:sz w:val="24"/>
          <w:szCs w:val="24"/>
        </w:rPr>
        <w:t>sędziowskiej po XX</w:t>
      </w:r>
      <w:r w:rsidR="00225EE4" w:rsidRPr="005F004A">
        <w:rPr>
          <w:rFonts w:ascii="Times New Roman" w:hAnsi="Times New Roman"/>
          <w:i/>
          <w:sz w:val="24"/>
          <w:szCs w:val="24"/>
        </w:rPr>
        <w:t>V</w:t>
      </w:r>
      <w:r w:rsidR="007C3A8C" w:rsidRPr="005F004A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5F004A" w:rsidRDefault="007C3A8C" w:rsidP="005F004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09F666" w14:textId="77777777" w:rsidR="00A41834" w:rsidRPr="005F004A" w:rsidRDefault="00A41834" w:rsidP="005F004A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9C3E0D3" w14:textId="779F6C48" w:rsidR="007C3A8C" w:rsidRPr="005F004A" w:rsidRDefault="007C3A8C" w:rsidP="005F004A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5F004A">
        <w:rPr>
          <w:rFonts w:ascii="Times New Roman" w:hAnsi="Times New Roman"/>
          <w:b/>
          <w:sz w:val="24"/>
          <w:szCs w:val="24"/>
        </w:rPr>
        <w:t>Do</w:t>
      </w:r>
    </w:p>
    <w:p w14:paraId="2A94D1E6" w14:textId="6850EF11" w:rsidR="007C3A8C" w:rsidRPr="005F004A" w:rsidRDefault="004C3A21" w:rsidP="005F004A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5F004A">
        <w:rPr>
          <w:rFonts w:ascii="Times New Roman" w:hAnsi="Times New Roman"/>
          <w:b/>
          <w:sz w:val="24"/>
          <w:szCs w:val="24"/>
        </w:rPr>
        <w:t>P</w:t>
      </w:r>
      <w:r w:rsidR="007C3A8C" w:rsidRPr="005F004A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33F2E72B" w:rsidR="007C3A8C" w:rsidRPr="005F004A" w:rsidRDefault="007C3A8C" w:rsidP="005F004A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5F004A">
        <w:rPr>
          <w:rFonts w:ascii="Times New Roman" w:hAnsi="Times New Roman"/>
          <w:b/>
          <w:sz w:val="24"/>
          <w:szCs w:val="24"/>
        </w:rPr>
        <w:t xml:space="preserve">oraz </w:t>
      </w:r>
      <w:r w:rsidR="004C3A21" w:rsidRPr="005F004A">
        <w:rPr>
          <w:rFonts w:ascii="Times New Roman" w:hAnsi="Times New Roman"/>
          <w:b/>
          <w:sz w:val="24"/>
          <w:szCs w:val="24"/>
        </w:rPr>
        <w:t>P</w:t>
      </w:r>
      <w:r w:rsidRPr="005F004A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00212DE5" w:rsidR="007C3A8C" w:rsidRPr="005F004A" w:rsidRDefault="007C3A8C" w:rsidP="005F004A">
      <w:pPr>
        <w:spacing w:after="0" w:line="360" w:lineRule="auto"/>
        <w:ind w:left="4962" w:hanging="6"/>
        <w:jc w:val="both"/>
        <w:rPr>
          <w:rFonts w:ascii="Times New Roman" w:hAnsi="Times New Roman"/>
          <w:b/>
          <w:sz w:val="24"/>
          <w:szCs w:val="24"/>
        </w:rPr>
      </w:pPr>
      <w:r w:rsidRPr="005F004A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A41834" w:rsidRPr="005F004A">
        <w:rPr>
          <w:rFonts w:ascii="Times New Roman" w:hAnsi="Times New Roman"/>
          <w:b/>
          <w:sz w:val="24"/>
          <w:szCs w:val="24"/>
        </w:rPr>
        <w:t xml:space="preserve">uzupełniającej </w:t>
      </w:r>
      <w:r w:rsidRPr="005F004A"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Pr="005F004A" w:rsidRDefault="007C3A8C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69B719" w14:textId="3E99F946" w:rsidR="007C3A8C" w:rsidRPr="005F004A" w:rsidRDefault="00A41834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U</w:t>
      </w:r>
      <w:r w:rsidR="007C3A8C" w:rsidRPr="005F004A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Pr="005F004A">
        <w:rPr>
          <w:rFonts w:ascii="Times New Roman" w:hAnsi="Times New Roman"/>
          <w:sz w:val="24"/>
          <w:szCs w:val="24"/>
        </w:rPr>
        <w:t>1</w:t>
      </w:r>
      <w:r w:rsidR="007C3A8C" w:rsidRPr="005F004A">
        <w:rPr>
          <w:rFonts w:ascii="Times New Roman" w:hAnsi="Times New Roman"/>
          <w:sz w:val="24"/>
          <w:szCs w:val="24"/>
        </w:rPr>
        <w:t xml:space="preserve"> rocznika aplikacji </w:t>
      </w:r>
      <w:r w:rsidRPr="005F004A">
        <w:rPr>
          <w:rFonts w:ascii="Times New Roman" w:hAnsi="Times New Roman"/>
          <w:sz w:val="24"/>
          <w:szCs w:val="24"/>
        </w:rPr>
        <w:t xml:space="preserve">uzupełniającej </w:t>
      </w:r>
      <w:r w:rsidR="007C3A8C" w:rsidRPr="005F004A">
        <w:rPr>
          <w:rFonts w:ascii="Times New Roman" w:hAnsi="Times New Roman"/>
          <w:sz w:val="24"/>
          <w:szCs w:val="24"/>
        </w:rPr>
        <w:t>sędziowskiej</w:t>
      </w:r>
      <w:r w:rsidRPr="005F004A">
        <w:rPr>
          <w:rFonts w:ascii="Times New Roman" w:hAnsi="Times New Roman"/>
          <w:sz w:val="24"/>
          <w:szCs w:val="24"/>
        </w:rPr>
        <w:t>,</w:t>
      </w:r>
      <w:r w:rsidR="007C3A8C" w:rsidRPr="005F004A">
        <w:rPr>
          <w:rFonts w:ascii="Times New Roman" w:hAnsi="Times New Roman"/>
          <w:sz w:val="24"/>
          <w:szCs w:val="24"/>
        </w:rPr>
        <w:t xml:space="preserve"> odbywanych </w:t>
      </w:r>
      <w:r w:rsidR="00B200F8" w:rsidRPr="00B200F8">
        <w:rPr>
          <w:rFonts w:ascii="Times New Roman" w:hAnsi="Times New Roman"/>
          <w:sz w:val="24"/>
          <w:szCs w:val="24"/>
        </w:rPr>
        <w:t>w</w:t>
      </w:r>
      <w:r w:rsidR="00B200F8">
        <w:rPr>
          <w:rFonts w:ascii="Times New Roman" w:hAnsi="Times New Roman"/>
          <w:b/>
          <w:sz w:val="24"/>
          <w:szCs w:val="24"/>
        </w:rPr>
        <w:t xml:space="preserve"> </w:t>
      </w:r>
      <w:r w:rsidR="00B200F8">
        <w:rPr>
          <w:rFonts w:ascii="Times New Roman" w:hAnsi="Times New Roman"/>
          <w:sz w:val="24"/>
          <w:szCs w:val="24"/>
        </w:rPr>
        <w:t>wydziale cywilnym</w:t>
      </w:r>
      <w:r w:rsidR="00B200F8" w:rsidRPr="005F004A">
        <w:rPr>
          <w:rFonts w:ascii="Times New Roman" w:hAnsi="Times New Roman"/>
          <w:sz w:val="24"/>
          <w:szCs w:val="24"/>
        </w:rPr>
        <w:t xml:space="preserve"> </w:t>
      </w:r>
      <w:r w:rsidR="007C3A8C" w:rsidRPr="005F004A">
        <w:rPr>
          <w:rFonts w:ascii="Times New Roman" w:hAnsi="Times New Roman"/>
          <w:sz w:val="24"/>
          <w:szCs w:val="24"/>
        </w:rPr>
        <w:t xml:space="preserve">w </w:t>
      </w:r>
      <w:r w:rsidRPr="005F004A">
        <w:rPr>
          <w:rFonts w:ascii="Times New Roman" w:hAnsi="Times New Roman"/>
          <w:sz w:val="24"/>
          <w:szCs w:val="24"/>
        </w:rPr>
        <w:t xml:space="preserve">wymiarze </w:t>
      </w:r>
      <w:r w:rsidRPr="004F2A42">
        <w:rPr>
          <w:rFonts w:ascii="Times New Roman" w:hAnsi="Times New Roman"/>
          <w:b/>
          <w:sz w:val="24"/>
          <w:szCs w:val="24"/>
        </w:rPr>
        <w:t>2 dni</w:t>
      </w:r>
      <w:r w:rsidRPr="005F004A">
        <w:rPr>
          <w:rFonts w:ascii="Times New Roman" w:hAnsi="Times New Roman"/>
          <w:sz w:val="24"/>
          <w:szCs w:val="24"/>
        </w:rPr>
        <w:t xml:space="preserve"> roboczych w </w:t>
      </w:r>
      <w:r w:rsidR="004F2A42">
        <w:rPr>
          <w:rFonts w:ascii="Times New Roman" w:hAnsi="Times New Roman"/>
          <w:sz w:val="24"/>
          <w:szCs w:val="24"/>
        </w:rPr>
        <w:t>okresie</w:t>
      </w:r>
      <w:r w:rsidR="007C3A8C" w:rsidRPr="005F004A">
        <w:rPr>
          <w:rFonts w:ascii="Times New Roman" w:hAnsi="Times New Roman"/>
          <w:sz w:val="24"/>
          <w:szCs w:val="24"/>
        </w:rPr>
        <w:t xml:space="preserve"> </w:t>
      </w:r>
      <w:r w:rsidR="005F004A" w:rsidRPr="004F2A42">
        <w:rPr>
          <w:rFonts w:ascii="Times New Roman" w:hAnsi="Times New Roman"/>
          <w:b/>
          <w:sz w:val="24"/>
          <w:szCs w:val="24"/>
        </w:rPr>
        <w:t xml:space="preserve">od </w:t>
      </w:r>
      <w:r w:rsidR="004F2A42">
        <w:rPr>
          <w:rFonts w:ascii="Times New Roman" w:hAnsi="Times New Roman"/>
          <w:b/>
          <w:sz w:val="24"/>
          <w:szCs w:val="24"/>
        </w:rPr>
        <w:t>13 do 24 września</w:t>
      </w:r>
      <w:r w:rsidR="004F2A42" w:rsidRPr="004F2A42">
        <w:rPr>
          <w:rFonts w:ascii="Times New Roman" w:hAnsi="Times New Roman"/>
          <w:b/>
          <w:sz w:val="24"/>
          <w:szCs w:val="24"/>
        </w:rPr>
        <w:t xml:space="preserve"> </w:t>
      </w:r>
      <w:r w:rsidR="005F004A" w:rsidRPr="004F2A42">
        <w:rPr>
          <w:rFonts w:ascii="Times New Roman" w:hAnsi="Times New Roman"/>
          <w:b/>
          <w:sz w:val="24"/>
          <w:szCs w:val="24"/>
        </w:rPr>
        <w:t>2021 r.</w:t>
      </w:r>
      <w:r w:rsidR="007C3A8C" w:rsidRPr="005F004A">
        <w:rPr>
          <w:rFonts w:ascii="Times New Roman" w:hAnsi="Times New Roman"/>
          <w:sz w:val="24"/>
          <w:szCs w:val="24"/>
        </w:rPr>
        <w:t xml:space="preserve">, </w:t>
      </w:r>
      <w:r w:rsidR="007C3A8C" w:rsidRPr="005F004A">
        <w:rPr>
          <w:rFonts w:ascii="Times New Roman" w:hAnsi="Times New Roman"/>
          <w:b/>
          <w:sz w:val="24"/>
          <w:szCs w:val="24"/>
        </w:rPr>
        <w:t>po</w:t>
      </w:r>
      <w:r w:rsidR="005F004A">
        <w:rPr>
          <w:rFonts w:ascii="Times New Roman" w:hAnsi="Times New Roman"/>
          <w:sz w:val="24"/>
          <w:szCs w:val="24"/>
        </w:rPr>
        <w:t> </w:t>
      </w:r>
      <w:r w:rsidR="007C3A8C" w:rsidRPr="005F004A">
        <w:rPr>
          <w:rFonts w:ascii="Times New Roman" w:hAnsi="Times New Roman"/>
          <w:b/>
          <w:sz w:val="24"/>
          <w:szCs w:val="24"/>
        </w:rPr>
        <w:t>X</w:t>
      </w:r>
      <w:r w:rsidR="001810FD" w:rsidRPr="005F004A">
        <w:rPr>
          <w:rFonts w:ascii="Times New Roman" w:hAnsi="Times New Roman"/>
          <w:b/>
          <w:sz w:val="24"/>
          <w:szCs w:val="24"/>
        </w:rPr>
        <w:t>X</w:t>
      </w:r>
      <w:r w:rsidR="00225EE4" w:rsidRPr="005F004A">
        <w:rPr>
          <w:rFonts w:ascii="Times New Roman" w:hAnsi="Times New Roman"/>
          <w:b/>
          <w:sz w:val="24"/>
          <w:szCs w:val="24"/>
        </w:rPr>
        <w:t>V</w:t>
      </w:r>
      <w:r w:rsidR="007C3A8C" w:rsidRPr="005F004A">
        <w:rPr>
          <w:rFonts w:ascii="Times New Roman" w:hAnsi="Times New Roman"/>
          <w:b/>
          <w:sz w:val="24"/>
          <w:szCs w:val="24"/>
        </w:rPr>
        <w:t> zjeździe</w:t>
      </w:r>
      <w:r w:rsidR="00B200F8">
        <w:rPr>
          <w:rFonts w:ascii="Times New Roman" w:hAnsi="Times New Roman"/>
          <w:sz w:val="24"/>
          <w:szCs w:val="24"/>
        </w:rPr>
        <w:t>.</w:t>
      </w:r>
    </w:p>
    <w:p w14:paraId="58A1E9E3" w14:textId="5CEFDCD3" w:rsidR="007C3A8C" w:rsidRPr="005F004A" w:rsidRDefault="007C3A8C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5F004A">
        <w:rPr>
          <w:rFonts w:ascii="Times New Roman" w:hAnsi="Times New Roman"/>
          <w:sz w:val="24"/>
          <w:szCs w:val="24"/>
        </w:rPr>
        <w:t xml:space="preserve"> z czynnościami i </w:t>
      </w:r>
      <w:r w:rsidRPr="005F004A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1B11511B" w14:textId="77777777" w:rsidR="005F004A" w:rsidRDefault="007C3A8C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 xml:space="preserve">Zgodnie z programem aplikacji </w:t>
      </w:r>
      <w:r w:rsidR="005F004A">
        <w:rPr>
          <w:rFonts w:ascii="Times New Roman" w:hAnsi="Times New Roman"/>
          <w:sz w:val="24"/>
          <w:szCs w:val="24"/>
        </w:rPr>
        <w:t xml:space="preserve">uzupełniającej </w:t>
      </w:r>
      <w:r w:rsidRPr="005F004A">
        <w:rPr>
          <w:rFonts w:ascii="Times New Roman" w:hAnsi="Times New Roman"/>
          <w:sz w:val="24"/>
          <w:szCs w:val="24"/>
        </w:rPr>
        <w:t>sędziowskiej</w:t>
      </w:r>
      <w:r w:rsidR="004C3A21" w:rsidRPr="005F004A">
        <w:rPr>
          <w:rFonts w:ascii="Times New Roman" w:hAnsi="Times New Roman"/>
          <w:sz w:val="24"/>
          <w:szCs w:val="24"/>
        </w:rPr>
        <w:t>,</w:t>
      </w:r>
      <w:r w:rsidRPr="005F004A">
        <w:rPr>
          <w:rFonts w:ascii="Times New Roman" w:hAnsi="Times New Roman"/>
          <w:sz w:val="24"/>
          <w:szCs w:val="24"/>
        </w:rPr>
        <w:t xml:space="preserve"> </w:t>
      </w:r>
      <w:r w:rsidR="008C32A1" w:rsidRPr="005F004A">
        <w:rPr>
          <w:rFonts w:ascii="Times New Roman" w:hAnsi="Times New Roman"/>
          <w:sz w:val="24"/>
          <w:szCs w:val="24"/>
        </w:rPr>
        <w:t>przedmiotem XX</w:t>
      </w:r>
      <w:r w:rsidR="00225EE4" w:rsidRPr="005F004A">
        <w:rPr>
          <w:rFonts w:ascii="Times New Roman" w:hAnsi="Times New Roman"/>
          <w:sz w:val="24"/>
          <w:szCs w:val="24"/>
        </w:rPr>
        <w:t>V</w:t>
      </w:r>
      <w:r w:rsidRPr="005F004A">
        <w:rPr>
          <w:rFonts w:ascii="Times New Roman" w:hAnsi="Times New Roman"/>
          <w:sz w:val="24"/>
          <w:szCs w:val="24"/>
        </w:rPr>
        <w:t xml:space="preserve"> zjazdu </w:t>
      </w:r>
      <w:r w:rsidR="00D84572" w:rsidRPr="005F004A">
        <w:rPr>
          <w:rFonts w:ascii="Times New Roman" w:hAnsi="Times New Roman"/>
          <w:sz w:val="24"/>
          <w:szCs w:val="24"/>
        </w:rPr>
        <w:t xml:space="preserve">jest </w:t>
      </w:r>
      <w:r w:rsidR="008C32A1" w:rsidRPr="005F004A">
        <w:rPr>
          <w:rFonts w:ascii="Times New Roman" w:hAnsi="Times New Roman"/>
          <w:sz w:val="24"/>
          <w:szCs w:val="24"/>
        </w:rPr>
        <w:t xml:space="preserve">postępowanie procesowe i nieprocesowe w sprawach osobowych i spadkowych. </w:t>
      </w:r>
    </w:p>
    <w:p w14:paraId="56967EF5" w14:textId="13E0D70D" w:rsidR="00A76E09" w:rsidRPr="005F004A" w:rsidRDefault="009F3BF2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76E09" w:rsidRPr="005F004A">
        <w:rPr>
          <w:rFonts w:ascii="Times New Roman" w:hAnsi="Times New Roman"/>
          <w:sz w:val="24"/>
          <w:szCs w:val="24"/>
        </w:rPr>
        <w:t>rzedmiotem praktyki powinny być przede wszystkim sprawy nieprocesowe.</w:t>
      </w:r>
    </w:p>
    <w:p w14:paraId="66916082" w14:textId="47221EA7" w:rsidR="007C3A8C" w:rsidRDefault="00085E89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 xml:space="preserve">W zakresie spraw </w:t>
      </w:r>
      <w:r w:rsidR="00225EE4" w:rsidRPr="005F004A">
        <w:rPr>
          <w:rFonts w:ascii="Times New Roman" w:hAnsi="Times New Roman"/>
          <w:sz w:val="24"/>
          <w:szCs w:val="24"/>
        </w:rPr>
        <w:t xml:space="preserve">będących przedmiotem zjazdu </w:t>
      </w:r>
      <w:r w:rsidR="005F004A">
        <w:rPr>
          <w:rFonts w:ascii="Times New Roman" w:hAnsi="Times New Roman"/>
          <w:sz w:val="24"/>
          <w:szCs w:val="24"/>
        </w:rPr>
        <w:t>na szczególną uwagę zasługują następujące</w:t>
      </w:r>
      <w:r w:rsidR="007C3A8C" w:rsidRPr="005F004A">
        <w:rPr>
          <w:rFonts w:ascii="Times New Roman" w:hAnsi="Times New Roman"/>
          <w:sz w:val="24"/>
          <w:szCs w:val="24"/>
        </w:rPr>
        <w:t xml:space="preserve"> </w:t>
      </w:r>
      <w:r w:rsidR="005F004A">
        <w:rPr>
          <w:rFonts w:ascii="Times New Roman" w:hAnsi="Times New Roman"/>
          <w:sz w:val="24"/>
          <w:szCs w:val="24"/>
        </w:rPr>
        <w:t>zagadnienia</w:t>
      </w:r>
      <w:r w:rsidR="007C3A8C" w:rsidRPr="005F004A">
        <w:rPr>
          <w:rFonts w:ascii="Times New Roman" w:hAnsi="Times New Roman"/>
          <w:sz w:val="24"/>
          <w:szCs w:val="24"/>
        </w:rPr>
        <w:t xml:space="preserve"> z zakresu prawa materialnego</w:t>
      </w:r>
      <w:r w:rsidR="005F004A" w:rsidRPr="005F004A">
        <w:rPr>
          <w:rFonts w:ascii="Times New Roman" w:hAnsi="Times New Roman"/>
          <w:sz w:val="24"/>
          <w:szCs w:val="24"/>
        </w:rPr>
        <w:t xml:space="preserve"> i procesowego</w:t>
      </w:r>
      <w:r w:rsidR="007C3A8C" w:rsidRPr="005F004A">
        <w:rPr>
          <w:rFonts w:ascii="Times New Roman" w:hAnsi="Times New Roman"/>
          <w:sz w:val="24"/>
          <w:szCs w:val="24"/>
        </w:rPr>
        <w:t>:</w:t>
      </w:r>
    </w:p>
    <w:p w14:paraId="02FED19A" w14:textId="04BBA7C3" w:rsidR="005F004A" w:rsidRDefault="005F004A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1F9AC4" w14:textId="1B2A0279" w:rsidR="005F004A" w:rsidRPr="004F2A42" w:rsidRDefault="005F004A" w:rsidP="005F004A">
      <w:pPr>
        <w:pStyle w:val="Akapitzlist"/>
        <w:numPr>
          <w:ilvl w:val="0"/>
          <w:numId w:val="24"/>
        </w:numPr>
        <w:spacing w:after="0" w:line="360" w:lineRule="auto"/>
        <w:ind w:left="9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2A42">
        <w:rPr>
          <w:rFonts w:ascii="Times New Roman" w:hAnsi="Times New Roman"/>
          <w:b/>
          <w:sz w:val="24"/>
          <w:szCs w:val="24"/>
          <w:u w:val="single"/>
        </w:rPr>
        <w:t>Prawo materialne</w:t>
      </w:r>
    </w:p>
    <w:p w14:paraId="10D977AC" w14:textId="65BB45E6" w:rsidR="005C6488" w:rsidRPr="005F004A" w:rsidRDefault="008C32A1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uznanie za zmarłego, w tym w szczególności na skutek działań wojennych (art. XXVIII i następne ustawy – Przepisy wprowadzające kodeks cywilny</w:t>
      </w:r>
      <w:r w:rsidR="00D5757D" w:rsidRPr="005F004A">
        <w:rPr>
          <w:rFonts w:ascii="Times New Roman" w:eastAsia="Andale Sans UI" w:hAnsi="Times New Roman"/>
          <w:kern w:val="3"/>
          <w:sz w:val="24"/>
          <w:szCs w:val="24"/>
        </w:rPr>
        <w:t>)</w:t>
      </w:r>
      <w:r w:rsidRPr="005F004A">
        <w:rPr>
          <w:rFonts w:ascii="Times New Roman" w:eastAsia="Andale Sans UI" w:hAnsi="Times New Roman"/>
          <w:kern w:val="3"/>
          <w:sz w:val="24"/>
          <w:szCs w:val="24"/>
        </w:rPr>
        <w:t xml:space="preserve">; </w:t>
      </w:r>
      <w:r w:rsidR="00FA63EE" w:rsidRPr="005F004A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</w:p>
    <w:p w14:paraId="01D0C6F2" w14:textId="297AAE24" w:rsidR="005C6488" w:rsidRPr="005F004A" w:rsidRDefault="008C32A1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stwierdzenie zgonu</w:t>
      </w:r>
      <w:r w:rsidR="0067695C" w:rsidRPr="005F004A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70256AD4" w14:textId="3E814014" w:rsidR="00E92173" w:rsidRPr="005F004A" w:rsidRDefault="00E92173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pojęcie spadku;</w:t>
      </w:r>
    </w:p>
    <w:p w14:paraId="08EB82B1" w14:textId="2639C832" w:rsidR="008C32A1" w:rsidRPr="005F004A" w:rsidRDefault="008C32A1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dziedziczenie ustawowe;</w:t>
      </w:r>
    </w:p>
    <w:p w14:paraId="4E0162D8" w14:textId="564E28A9" w:rsidR="008C32A1" w:rsidRPr="005F004A" w:rsidRDefault="008C32A1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dziedziczenie testamentowe, w tym w szczególności:</w:t>
      </w:r>
    </w:p>
    <w:p w14:paraId="0ECC3FBD" w14:textId="4CB5EAA2" w:rsidR="00E92173" w:rsidRPr="005F004A" w:rsidRDefault="00E92173" w:rsidP="005F004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testamenty zwykłe,</w:t>
      </w:r>
    </w:p>
    <w:p w14:paraId="11C1E3D5" w14:textId="06332FE7" w:rsidR="008C32A1" w:rsidRPr="005F004A" w:rsidRDefault="00E92173" w:rsidP="005F004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testamenty szczególne, w tym w szczególności testament ustny (okoliczności pozwalające na skorzystanie z tej formy testamentu, świadkowie testamentu ustnego, sposoby stwierdzenia treści testamentu ustnego),</w:t>
      </w:r>
    </w:p>
    <w:p w14:paraId="313F9419" w14:textId="205C0DD0" w:rsidR="00E92173" w:rsidRPr="005F004A" w:rsidRDefault="00E92173" w:rsidP="005F004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przesłanki nieważności testamentu z powodu wady oświadczenia woli (art. 945 k.c.),</w:t>
      </w:r>
    </w:p>
    <w:p w14:paraId="6F2157D3" w14:textId="23CF4682" w:rsidR="00E92173" w:rsidRPr="005F004A" w:rsidRDefault="00E92173" w:rsidP="005F004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wykładnia testamentu (art.</w:t>
      </w:r>
      <w:r w:rsidR="00476E44" w:rsidRPr="005F004A">
        <w:rPr>
          <w:rFonts w:ascii="Times New Roman" w:eastAsia="Andale Sans UI" w:hAnsi="Times New Roman"/>
          <w:kern w:val="3"/>
          <w:sz w:val="24"/>
          <w:szCs w:val="24"/>
        </w:rPr>
        <w:t xml:space="preserve"> 948 k.c.);</w:t>
      </w:r>
    </w:p>
    <w:p w14:paraId="58D557FE" w14:textId="1E74D640" w:rsidR="008C32A1" w:rsidRDefault="008C32A1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 xml:space="preserve">zapis i </w:t>
      </w:r>
      <w:r w:rsidR="00E92173" w:rsidRPr="005F004A">
        <w:rPr>
          <w:rFonts w:ascii="Times New Roman" w:eastAsia="Andale Sans UI" w:hAnsi="Times New Roman"/>
          <w:kern w:val="3"/>
          <w:sz w:val="24"/>
          <w:szCs w:val="24"/>
        </w:rPr>
        <w:t xml:space="preserve">polecenie oraz </w:t>
      </w:r>
      <w:r w:rsidRPr="005F004A">
        <w:rPr>
          <w:rFonts w:ascii="Times New Roman" w:eastAsia="Andale Sans UI" w:hAnsi="Times New Roman"/>
          <w:kern w:val="3"/>
          <w:sz w:val="24"/>
          <w:szCs w:val="24"/>
        </w:rPr>
        <w:t>zapis windykacyjny;</w:t>
      </w:r>
    </w:p>
    <w:p w14:paraId="034C2773" w14:textId="501F4209" w:rsidR="009F3BF2" w:rsidRPr="005F004A" w:rsidRDefault="009F3BF2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zachowek;</w:t>
      </w:r>
    </w:p>
    <w:p w14:paraId="3EE3C18F" w14:textId="4285525B" w:rsidR="00476E44" w:rsidRPr="005F004A" w:rsidRDefault="00476E44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wydziedziczenie;</w:t>
      </w:r>
    </w:p>
    <w:p w14:paraId="38AEF1AA" w14:textId="2A79E8D7" w:rsidR="00476E44" w:rsidRPr="005F004A" w:rsidRDefault="00476E44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zrzeczenie się dziedziczenia;</w:t>
      </w:r>
    </w:p>
    <w:p w14:paraId="0FB54ADF" w14:textId="67EEC532" w:rsidR="00476E44" w:rsidRPr="005F004A" w:rsidRDefault="00476E44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przyjęcie i odrzucenie spadku;</w:t>
      </w:r>
    </w:p>
    <w:p w14:paraId="16EB9CE5" w14:textId="39B45DFF" w:rsidR="00476E44" w:rsidRPr="005F004A" w:rsidRDefault="00476E44" w:rsidP="005F00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eastAsia="Andale Sans UI" w:hAnsi="Times New Roman"/>
          <w:kern w:val="3"/>
          <w:sz w:val="24"/>
          <w:szCs w:val="24"/>
        </w:rPr>
        <w:t>szczególne zasady dz</w:t>
      </w:r>
      <w:r w:rsidR="005F004A">
        <w:rPr>
          <w:rFonts w:ascii="Times New Roman" w:eastAsia="Andale Sans UI" w:hAnsi="Times New Roman"/>
          <w:kern w:val="3"/>
          <w:sz w:val="24"/>
          <w:szCs w:val="24"/>
        </w:rPr>
        <w:t xml:space="preserve">iedziczenia gospodarstw rolnych, w tym w świetle orzecznictwa Trybunału Konstytucyjnego. </w:t>
      </w:r>
    </w:p>
    <w:p w14:paraId="67F95587" w14:textId="77777777" w:rsidR="005F004A" w:rsidRDefault="005F004A" w:rsidP="005F004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36B8683" w14:textId="2A5AA955" w:rsidR="00B81B62" w:rsidRPr="004F2A42" w:rsidRDefault="005F004A" w:rsidP="005F004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2A42">
        <w:rPr>
          <w:rFonts w:ascii="Times New Roman" w:hAnsi="Times New Roman"/>
          <w:b/>
          <w:sz w:val="24"/>
          <w:szCs w:val="24"/>
          <w:u w:val="single"/>
        </w:rPr>
        <w:t xml:space="preserve"> Prawo procesowe</w:t>
      </w:r>
      <w:r w:rsidR="008F28C0" w:rsidRPr="004F2A4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F140C5C" w14:textId="02683928" w:rsidR="00AC7DA6" w:rsidRPr="005F004A" w:rsidRDefault="008F28C0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postępowanie w przedmiocie uznania za zmarłego i stwierdzenia zg</w:t>
      </w:r>
      <w:r w:rsidR="005F004A">
        <w:rPr>
          <w:rFonts w:ascii="Times New Roman" w:hAnsi="Times New Roman"/>
          <w:sz w:val="24"/>
          <w:szCs w:val="24"/>
        </w:rPr>
        <w:t>onu, w tym w </w:t>
      </w:r>
      <w:r w:rsidRPr="005F004A">
        <w:rPr>
          <w:rFonts w:ascii="Times New Roman" w:hAnsi="Times New Roman"/>
          <w:sz w:val="24"/>
          <w:szCs w:val="24"/>
        </w:rPr>
        <w:t>szczególności właściwość sądu, ogłoszenie o wszczęciu postępowania, redakcja postanowienia o uznaniu za zmarłego lub stwierdzeniu zgonu</w:t>
      </w:r>
      <w:r w:rsidR="00AC7DA6" w:rsidRPr="005F004A">
        <w:rPr>
          <w:rFonts w:ascii="Times New Roman" w:hAnsi="Times New Roman"/>
          <w:sz w:val="24"/>
          <w:szCs w:val="24"/>
        </w:rPr>
        <w:t>;</w:t>
      </w:r>
    </w:p>
    <w:p w14:paraId="6C4CEEBA" w14:textId="3262EC55" w:rsidR="00587AAC" w:rsidRPr="005F004A" w:rsidRDefault="00587AAC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 xml:space="preserve">postępowanie o stwierdzenie nabycia </w:t>
      </w:r>
      <w:r w:rsidR="00E72B5E" w:rsidRPr="005F004A">
        <w:rPr>
          <w:rFonts w:ascii="Times New Roman" w:hAnsi="Times New Roman"/>
          <w:sz w:val="24"/>
          <w:szCs w:val="24"/>
        </w:rPr>
        <w:t xml:space="preserve"> </w:t>
      </w:r>
      <w:r w:rsidRPr="005F004A">
        <w:rPr>
          <w:rFonts w:ascii="Times New Roman" w:hAnsi="Times New Roman"/>
          <w:sz w:val="24"/>
          <w:szCs w:val="24"/>
        </w:rPr>
        <w:t>spadku, w tym w szczególności:</w:t>
      </w:r>
    </w:p>
    <w:p w14:paraId="5E6F5998" w14:textId="1B07428C" w:rsidR="00587AAC" w:rsidRPr="005F004A" w:rsidRDefault="00587AAC" w:rsidP="005F004A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legitymacja czynna do złożenia wniosku oraz krąg uczestników postępowania,</w:t>
      </w:r>
    </w:p>
    <w:p w14:paraId="0090B0A8" w14:textId="49D5CE8F" w:rsidR="00587AAC" w:rsidRPr="005F004A" w:rsidRDefault="00587AAC" w:rsidP="005F004A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wezwanie spadkobierców przez ogłoszenie,</w:t>
      </w:r>
    </w:p>
    <w:p w14:paraId="4148A5A3" w14:textId="3FA7532F" w:rsidR="00587AAC" w:rsidRPr="005F004A" w:rsidRDefault="007D5A2F" w:rsidP="005F004A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przesłuchanie świadków testamentu ustnego;</w:t>
      </w:r>
    </w:p>
    <w:p w14:paraId="5F2AE4CF" w14:textId="56F76790" w:rsidR="00AC7DA6" w:rsidRPr="005F004A" w:rsidRDefault="00587AAC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otwarcie i ogłoszenie testamentu;</w:t>
      </w:r>
    </w:p>
    <w:p w14:paraId="4D39B037" w14:textId="117C8741" w:rsidR="00AC7DA6" w:rsidRPr="005F004A" w:rsidRDefault="00587AAC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stwierdzenie nabycia przedmiotu zapisu windykacyjnego;</w:t>
      </w:r>
    </w:p>
    <w:p w14:paraId="217DE452" w14:textId="75ACD083" w:rsidR="001F7981" w:rsidRPr="005F004A" w:rsidRDefault="001F7981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zabezpieczenie spadku i przedmiotu zapisu windykacyjnego;</w:t>
      </w:r>
    </w:p>
    <w:p w14:paraId="749B837A" w14:textId="421C8B24" w:rsidR="007D5A2F" w:rsidRPr="005F004A" w:rsidRDefault="005F004A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w przedmiocie ustanowienia </w:t>
      </w:r>
      <w:r w:rsidR="007D5A2F" w:rsidRPr="005F004A">
        <w:rPr>
          <w:rFonts w:ascii="Times New Roman" w:hAnsi="Times New Roman"/>
          <w:sz w:val="24"/>
          <w:szCs w:val="24"/>
        </w:rPr>
        <w:t>kurator</w:t>
      </w:r>
      <w:r>
        <w:rPr>
          <w:rFonts w:ascii="Times New Roman" w:hAnsi="Times New Roman"/>
          <w:sz w:val="24"/>
          <w:szCs w:val="24"/>
        </w:rPr>
        <w:t>a</w:t>
      </w:r>
      <w:r w:rsidR="007D5A2F" w:rsidRPr="005F004A">
        <w:rPr>
          <w:rFonts w:ascii="Times New Roman" w:hAnsi="Times New Roman"/>
          <w:sz w:val="24"/>
          <w:szCs w:val="24"/>
        </w:rPr>
        <w:t xml:space="preserve"> spadku;</w:t>
      </w:r>
    </w:p>
    <w:p w14:paraId="13C9AE1C" w14:textId="2B6FA1B6" w:rsidR="007D5A2F" w:rsidRPr="005F004A" w:rsidRDefault="007D5A2F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lastRenderedPageBreak/>
        <w:t>postępowanie w sprawie o spis inwentarza oraz postępowanie po złożeniu wykazu inwentarza;</w:t>
      </w:r>
    </w:p>
    <w:p w14:paraId="6EA0A47C" w14:textId="5AFDF409" w:rsidR="00587AAC" w:rsidRPr="005F004A" w:rsidRDefault="00587AAC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zmiana prawomocnego postanowienia o stwierdzeniu nabycia spadku (art.</w:t>
      </w:r>
      <w:r w:rsidR="007D5A2F" w:rsidRPr="005F004A">
        <w:rPr>
          <w:rFonts w:ascii="Times New Roman" w:hAnsi="Times New Roman"/>
          <w:sz w:val="24"/>
          <w:szCs w:val="24"/>
        </w:rPr>
        <w:t xml:space="preserve"> 679 k.p.c.);</w:t>
      </w:r>
    </w:p>
    <w:p w14:paraId="0F94D00B" w14:textId="5C6A9029" w:rsidR="007D5A2F" w:rsidRPr="005F004A" w:rsidRDefault="007D5A2F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uchylenie a</w:t>
      </w:r>
      <w:r w:rsidR="00F306D3" w:rsidRPr="005F004A">
        <w:rPr>
          <w:rFonts w:ascii="Times New Roman" w:hAnsi="Times New Roman"/>
          <w:sz w:val="24"/>
          <w:szCs w:val="24"/>
        </w:rPr>
        <w:t>ktu poświadczenia dziedziczenia;</w:t>
      </w:r>
    </w:p>
    <w:p w14:paraId="4BDC45B2" w14:textId="7F294E35" w:rsidR="00F306D3" w:rsidRPr="005F004A" w:rsidRDefault="00F306D3" w:rsidP="005F004A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europejskie postępowanie spadkowe.</w:t>
      </w:r>
    </w:p>
    <w:p w14:paraId="5076679F" w14:textId="77777777" w:rsidR="00693EAC" w:rsidRDefault="00693EAC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BF6FD7" w14:textId="62824B17" w:rsidR="00C33982" w:rsidRDefault="00B81B62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Szczególną uwagę należy poświęcić zagadnieniom procesowy</w:t>
      </w:r>
      <w:r w:rsidR="00C33982">
        <w:rPr>
          <w:rFonts w:ascii="Times New Roman" w:hAnsi="Times New Roman"/>
          <w:sz w:val="24"/>
          <w:szCs w:val="24"/>
        </w:rPr>
        <w:t>ch</w:t>
      </w:r>
      <w:r w:rsidRPr="005F004A">
        <w:rPr>
          <w:rFonts w:ascii="Times New Roman" w:hAnsi="Times New Roman"/>
          <w:sz w:val="24"/>
          <w:szCs w:val="24"/>
        </w:rPr>
        <w:t xml:space="preserve"> i technicznych aspektów postępowania dowodowego</w:t>
      </w:r>
      <w:r w:rsidR="00F306D3" w:rsidRPr="005F004A">
        <w:rPr>
          <w:rFonts w:ascii="Times New Roman" w:hAnsi="Times New Roman"/>
          <w:sz w:val="24"/>
          <w:szCs w:val="24"/>
        </w:rPr>
        <w:t xml:space="preserve"> w sprawach o stwierdzenie nabycia spadku</w:t>
      </w:r>
      <w:r w:rsidR="00C33982">
        <w:rPr>
          <w:rFonts w:ascii="Times New Roman" w:hAnsi="Times New Roman"/>
          <w:sz w:val="24"/>
          <w:szCs w:val="24"/>
        </w:rPr>
        <w:t>, z </w:t>
      </w:r>
      <w:r w:rsidRPr="005F004A">
        <w:rPr>
          <w:rFonts w:ascii="Times New Roman" w:hAnsi="Times New Roman"/>
          <w:sz w:val="24"/>
          <w:szCs w:val="24"/>
        </w:rPr>
        <w:t>uwzględnieniem sposobu redagowania postanowień dow</w:t>
      </w:r>
      <w:r w:rsidR="00C33982">
        <w:rPr>
          <w:rFonts w:ascii="Times New Roman" w:hAnsi="Times New Roman"/>
          <w:sz w:val="24"/>
          <w:szCs w:val="24"/>
        </w:rPr>
        <w:t>odowych dopuszczających dowód z </w:t>
      </w:r>
      <w:r w:rsidRPr="005F004A">
        <w:rPr>
          <w:rFonts w:ascii="Times New Roman" w:hAnsi="Times New Roman"/>
          <w:sz w:val="24"/>
          <w:szCs w:val="24"/>
        </w:rPr>
        <w:t xml:space="preserve">opinii biegłych różnych specjalności </w:t>
      </w:r>
      <w:r w:rsidR="00F306D3" w:rsidRPr="005F004A">
        <w:rPr>
          <w:rFonts w:ascii="Times New Roman" w:hAnsi="Times New Roman"/>
          <w:sz w:val="24"/>
          <w:szCs w:val="24"/>
        </w:rPr>
        <w:t>w celu stwierdzenia ważności testamentu (dowód</w:t>
      </w:r>
      <w:r w:rsidR="00693EAC">
        <w:rPr>
          <w:rFonts w:ascii="Times New Roman" w:hAnsi="Times New Roman"/>
          <w:sz w:val="24"/>
          <w:szCs w:val="24"/>
        </w:rPr>
        <w:t xml:space="preserve"> z </w:t>
      </w:r>
      <w:r w:rsidR="00F306D3" w:rsidRPr="005F004A">
        <w:rPr>
          <w:rFonts w:ascii="Times New Roman" w:hAnsi="Times New Roman"/>
          <w:sz w:val="24"/>
          <w:szCs w:val="24"/>
        </w:rPr>
        <w:t>opinii biegłego do spraw badań porównawczych pisma ręcznego - w tym również gromadzenie materiału porównawczego do badań, dowód z opinii biegł</w:t>
      </w:r>
      <w:r w:rsidR="00C33982">
        <w:rPr>
          <w:rFonts w:ascii="Times New Roman" w:hAnsi="Times New Roman"/>
          <w:sz w:val="24"/>
          <w:szCs w:val="24"/>
        </w:rPr>
        <w:t>ego lekarza psychiatry, dowód z </w:t>
      </w:r>
      <w:r w:rsidR="00F306D3" w:rsidRPr="005F004A">
        <w:rPr>
          <w:rFonts w:ascii="Times New Roman" w:hAnsi="Times New Roman"/>
          <w:sz w:val="24"/>
          <w:szCs w:val="24"/>
        </w:rPr>
        <w:t>opinii biegłego psychologa – w tym również gromadzenie dokumentacji medycznej, rozróżnienie kompetencji psychiatry i psychologa).</w:t>
      </w:r>
      <w:r w:rsidRPr="005F004A">
        <w:rPr>
          <w:rFonts w:ascii="Times New Roman" w:hAnsi="Times New Roman"/>
          <w:sz w:val="24"/>
          <w:szCs w:val="24"/>
        </w:rPr>
        <w:t xml:space="preserve"> </w:t>
      </w:r>
    </w:p>
    <w:p w14:paraId="63E00CBA" w14:textId="5C103685" w:rsidR="000C5FFA" w:rsidRPr="005F004A" w:rsidRDefault="00AA67CD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 xml:space="preserve">Zaleca się, aby aplikanci w trakcie praktyki zapoznawali się z konkretnymi sprawami </w:t>
      </w:r>
      <w:r w:rsidR="00693EAC">
        <w:rPr>
          <w:rFonts w:ascii="Times New Roman" w:hAnsi="Times New Roman"/>
          <w:sz w:val="24"/>
          <w:szCs w:val="24"/>
        </w:rPr>
        <w:t>z </w:t>
      </w:r>
      <w:r w:rsidR="00D6448C" w:rsidRPr="005F004A">
        <w:rPr>
          <w:rFonts w:ascii="Times New Roman" w:hAnsi="Times New Roman"/>
          <w:sz w:val="24"/>
          <w:szCs w:val="24"/>
        </w:rPr>
        <w:t xml:space="preserve">zakresu prawa </w:t>
      </w:r>
      <w:r w:rsidR="00F306D3" w:rsidRPr="005F004A">
        <w:rPr>
          <w:rFonts w:ascii="Times New Roman" w:hAnsi="Times New Roman"/>
          <w:sz w:val="24"/>
          <w:szCs w:val="24"/>
        </w:rPr>
        <w:t>spadkowego</w:t>
      </w:r>
      <w:r w:rsidR="00D6448C" w:rsidRPr="005F004A">
        <w:rPr>
          <w:rFonts w:ascii="Times New Roman" w:hAnsi="Times New Roman"/>
          <w:sz w:val="24"/>
          <w:szCs w:val="24"/>
        </w:rPr>
        <w:t xml:space="preserve"> </w:t>
      </w:r>
      <w:r w:rsidR="00F306D3" w:rsidRPr="005F004A">
        <w:rPr>
          <w:rFonts w:ascii="Times New Roman" w:hAnsi="Times New Roman"/>
          <w:sz w:val="24"/>
          <w:szCs w:val="24"/>
        </w:rPr>
        <w:t>i prawa osobowego,</w:t>
      </w:r>
      <w:r w:rsidR="00D6448C" w:rsidRPr="005F004A">
        <w:rPr>
          <w:rFonts w:ascii="Times New Roman" w:hAnsi="Times New Roman"/>
          <w:sz w:val="24"/>
          <w:szCs w:val="24"/>
        </w:rPr>
        <w:t xml:space="preserve"> </w:t>
      </w:r>
      <w:r w:rsidR="00F36BCE" w:rsidRPr="005F004A">
        <w:rPr>
          <w:rFonts w:ascii="Times New Roman" w:hAnsi="Times New Roman"/>
          <w:sz w:val="24"/>
          <w:szCs w:val="24"/>
        </w:rPr>
        <w:t xml:space="preserve">oraz aby powierzano im jak największą liczbę czynności, które pomogą utrwalić im w praktyce zdobytą podczas zajęć seminaryjnych wiedzę teoretyczną. Szczególny jednak nacisk należy położyć na to, aby podczas praktyki aplikanci opanowali w możliwie najwyższym stopniu umiejętność samodzielnego opracowywania </w:t>
      </w:r>
      <w:r w:rsidR="00A322B3" w:rsidRPr="005F004A">
        <w:rPr>
          <w:rFonts w:ascii="Times New Roman" w:hAnsi="Times New Roman"/>
          <w:sz w:val="24"/>
          <w:szCs w:val="24"/>
        </w:rPr>
        <w:t>projektów orzeczeń kończących postępowanie w tego rodzaju sprawach, wraz z uzasadnieniem.</w:t>
      </w:r>
      <w:r w:rsidR="000C5FFA" w:rsidRPr="005F004A">
        <w:rPr>
          <w:rFonts w:ascii="Times New Roman" w:hAnsi="Times New Roman"/>
          <w:sz w:val="24"/>
          <w:szCs w:val="24"/>
        </w:rPr>
        <w:t xml:space="preserve"> </w:t>
      </w:r>
    </w:p>
    <w:p w14:paraId="30D9EE6D" w14:textId="4772E0D5" w:rsidR="00F36BCE" w:rsidRPr="005F004A" w:rsidRDefault="000C5FFA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Aplikanci na zjeździe XXVI będą pisać sprawdzian, którego przedmiotem będzie sporządzenie projektu orzeczenia rozstrzygającego co do</w:t>
      </w:r>
      <w:r w:rsidR="00C33982">
        <w:rPr>
          <w:rFonts w:ascii="Times New Roman" w:hAnsi="Times New Roman"/>
          <w:sz w:val="24"/>
          <w:szCs w:val="24"/>
        </w:rPr>
        <w:t xml:space="preserve"> istoty sprawy w postępowaniu z </w:t>
      </w:r>
      <w:r w:rsidRPr="005F004A">
        <w:rPr>
          <w:rFonts w:ascii="Times New Roman" w:hAnsi="Times New Roman"/>
          <w:sz w:val="24"/>
          <w:szCs w:val="24"/>
        </w:rPr>
        <w:t>zakresu prawa osobowego lub spadkowego wraz z uzasadnieniem.</w:t>
      </w:r>
    </w:p>
    <w:p w14:paraId="5436D59E" w14:textId="77777777" w:rsidR="00305CFF" w:rsidRDefault="00305CFF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146F67" w14:textId="77777777" w:rsidR="004F2A42" w:rsidRPr="005F004A" w:rsidRDefault="004F2A42" w:rsidP="005F0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64CC16" w14:textId="77777777" w:rsidR="00305CFF" w:rsidRPr="005F004A" w:rsidRDefault="007C3A8C" w:rsidP="005F004A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 xml:space="preserve"> </w:t>
      </w:r>
      <w:r w:rsidR="00305CFF" w:rsidRPr="005F004A">
        <w:rPr>
          <w:rFonts w:ascii="Times New Roman" w:hAnsi="Times New Roman"/>
          <w:sz w:val="24"/>
          <w:szCs w:val="24"/>
        </w:rPr>
        <w:t>Kierownik Działu Dydaktycznego OAS</w:t>
      </w:r>
    </w:p>
    <w:p w14:paraId="0CF64E93" w14:textId="0933BDB6" w:rsidR="00305CFF" w:rsidRPr="005F004A" w:rsidRDefault="00305CFF" w:rsidP="005F004A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 xml:space="preserve">dr </w:t>
      </w:r>
      <w:r w:rsidR="000C5FFA" w:rsidRPr="005F004A">
        <w:rPr>
          <w:rFonts w:ascii="Times New Roman" w:hAnsi="Times New Roman"/>
          <w:sz w:val="24"/>
          <w:szCs w:val="24"/>
        </w:rPr>
        <w:t xml:space="preserve">Mariusz Kucharczyk </w:t>
      </w:r>
    </w:p>
    <w:p w14:paraId="17A19B4E" w14:textId="0902B630" w:rsidR="00775A12" w:rsidRPr="005F004A" w:rsidRDefault="00305CFF" w:rsidP="004F2A42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5F004A">
        <w:rPr>
          <w:rFonts w:ascii="Times New Roman" w:hAnsi="Times New Roman"/>
          <w:sz w:val="24"/>
          <w:szCs w:val="24"/>
        </w:rPr>
        <w:t>sędzia</w:t>
      </w:r>
    </w:p>
    <w:sectPr w:rsidR="00775A12" w:rsidRPr="005F0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77B91" w14:textId="77777777" w:rsidR="00294E37" w:rsidRDefault="00294E37" w:rsidP="00AA67CD">
      <w:pPr>
        <w:spacing w:after="0" w:line="240" w:lineRule="auto"/>
      </w:pPr>
      <w:r>
        <w:separator/>
      </w:r>
    </w:p>
  </w:endnote>
  <w:endnote w:type="continuationSeparator" w:id="0">
    <w:p w14:paraId="5CC684CC" w14:textId="77777777" w:rsidR="00294E37" w:rsidRDefault="00294E37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386B" w14:textId="77777777" w:rsidR="00D66C95" w:rsidRDefault="00D66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F0B6" w14:textId="77777777" w:rsidR="00D66C95" w:rsidRDefault="00D66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32C88" w14:textId="77777777" w:rsidR="00D66C95" w:rsidRDefault="00D66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602EE" w14:textId="77777777" w:rsidR="00294E37" w:rsidRDefault="00294E37" w:rsidP="00AA67CD">
      <w:pPr>
        <w:spacing w:after="0" w:line="240" w:lineRule="auto"/>
      </w:pPr>
      <w:r>
        <w:separator/>
      </w:r>
    </w:p>
  </w:footnote>
  <w:footnote w:type="continuationSeparator" w:id="0">
    <w:p w14:paraId="2880E2BD" w14:textId="77777777" w:rsidR="00294E37" w:rsidRDefault="00294E37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33D3" w14:textId="77777777" w:rsidR="00D66C95" w:rsidRDefault="00D66C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8B44" w14:textId="77777777" w:rsidR="00D66C95" w:rsidRDefault="00D66C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441F" w14:textId="77777777" w:rsidR="00D66C95" w:rsidRDefault="00D66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5762C"/>
    <w:multiLevelType w:val="hybridMultilevel"/>
    <w:tmpl w:val="68E227D4"/>
    <w:lvl w:ilvl="0" w:tplc="548A89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A3172"/>
    <w:multiLevelType w:val="hybridMultilevel"/>
    <w:tmpl w:val="BCA816CE"/>
    <w:lvl w:ilvl="0" w:tplc="59B849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260F3B21"/>
    <w:multiLevelType w:val="hybridMultilevel"/>
    <w:tmpl w:val="8D9C27E8"/>
    <w:lvl w:ilvl="0" w:tplc="7B363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4AC"/>
    <w:multiLevelType w:val="hybridMultilevel"/>
    <w:tmpl w:val="0AB29C68"/>
    <w:lvl w:ilvl="0" w:tplc="D8527A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96231"/>
    <w:multiLevelType w:val="hybridMultilevel"/>
    <w:tmpl w:val="4D1C8DFC"/>
    <w:lvl w:ilvl="0" w:tplc="682825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0"/>
  </w:num>
  <w:num w:numId="5">
    <w:abstractNumId w:val="22"/>
  </w:num>
  <w:num w:numId="6">
    <w:abstractNumId w:val="9"/>
  </w:num>
  <w:num w:numId="7">
    <w:abstractNumId w:val="21"/>
  </w:num>
  <w:num w:numId="8">
    <w:abstractNumId w:val="12"/>
  </w:num>
  <w:num w:numId="9">
    <w:abstractNumId w:val="8"/>
  </w:num>
  <w:num w:numId="10">
    <w:abstractNumId w:val="23"/>
  </w:num>
  <w:num w:numId="11">
    <w:abstractNumId w:val="6"/>
  </w:num>
  <w:num w:numId="12">
    <w:abstractNumId w:val="11"/>
  </w:num>
  <w:num w:numId="13">
    <w:abstractNumId w:val="14"/>
  </w:num>
  <w:num w:numId="14">
    <w:abstractNumId w:val="18"/>
  </w:num>
  <w:num w:numId="15">
    <w:abstractNumId w:val="2"/>
  </w:num>
  <w:num w:numId="16">
    <w:abstractNumId w:val="15"/>
  </w:num>
  <w:num w:numId="17">
    <w:abstractNumId w:val="10"/>
  </w:num>
  <w:num w:numId="18">
    <w:abstractNumId w:val="4"/>
  </w:num>
  <w:num w:numId="19">
    <w:abstractNumId w:val="16"/>
  </w:num>
  <w:num w:numId="20">
    <w:abstractNumId w:val="5"/>
  </w:num>
  <w:num w:numId="21">
    <w:abstractNumId w:val="19"/>
  </w:num>
  <w:num w:numId="22">
    <w:abstractNumId w:val="3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8304C"/>
    <w:rsid w:val="00085E89"/>
    <w:rsid w:val="000A75FB"/>
    <w:rsid w:val="000C5FFA"/>
    <w:rsid w:val="000D378A"/>
    <w:rsid w:val="0012019D"/>
    <w:rsid w:val="00130012"/>
    <w:rsid w:val="001810FD"/>
    <w:rsid w:val="00195D0B"/>
    <w:rsid w:val="001C5C56"/>
    <w:rsid w:val="001D5E58"/>
    <w:rsid w:val="001E5109"/>
    <w:rsid w:val="001F7981"/>
    <w:rsid w:val="00225EE4"/>
    <w:rsid w:val="002519D5"/>
    <w:rsid w:val="00294E37"/>
    <w:rsid w:val="002A2C8C"/>
    <w:rsid w:val="002A77D9"/>
    <w:rsid w:val="00305CFF"/>
    <w:rsid w:val="00320FA7"/>
    <w:rsid w:val="003914C5"/>
    <w:rsid w:val="003C50C3"/>
    <w:rsid w:val="00417D3D"/>
    <w:rsid w:val="00476E44"/>
    <w:rsid w:val="0049107A"/>
    <w:rsid w:val="004C2C39"/>
    <w:rsid w:val="004C3A21"/>
    <w:rsid w:val="004F2A42"/>
    <w:rsid w:val="00534FC5"/>
    <w:rsid w:val="005800A4"/>
    <w:rsid w:val="00587AAC"/>
    <w:rsid w:val="005C0229"/>
    <w:rsid w:val="005C6488"/>
    <w:rsid w:val="005E0426"/>
    <w:rsid w:val="005F004A"/>
    <w:rsid w:val="00666F77"/>
    <w:rsid w:val="0067695C"/>
    <w:rsid w:val="00682245"/>
    <w:rsid w:val="00693EAC"/>
    <w:rsid w:val="00694CE4"/>
    <w:rsid w:val="006A6BF3"/>
    <w:rsid w:val="006B1A06"/>
    <w:rsid w:val="006D7F5D"/>
    <w:rsid w:val="006E6B11"/>
    <w:rsid w:val="007007FA"/>
    <w:rsid w:val="00723AFD"/>
    <w:rsid w:val="0075328F"/>
    <w:rsid w:val="007A6EE6"/>
    <w:rsid w:val="007B6F11"/>
    <w:rsid w:val="007C3A8C"/>
    <w:rsid w:val="007D5A2F"/>
    <w:rsid w:val="007F28CC"/>
    <w:rsid w:val="0088627E"/>
    <w:rsid w:val="008C32A1"/>
    <w:rsid w:val="008C3394"/>
    <w:rsid w:val="008D7828"/>
    <w:rsid w:val="008F18D4"/>
    <w:rsid w:val="008F28C0"/>
    <w:rsid w:val="008F4E3E"/>
    <w:rsid w:val="009135B9"/>
    <w:rsid w:val="009E0CFB"/>
    <w:rsid w:val="009F3BF2"/>
    <w:rsid w:val="00A24D29"/>
    <w:rsid w:val="00A322B3"/>
    <w:rsid w:val="00A41834"/>
    <w:rsid w:val="00A6657A"/>
    <w:rsid w:val="00A76E09"/>
    <w:rsid w:val="00AA67CD"/>
    <w:rsid w:val="00AC5837"/>
    <w:rsid w:val="00AC7DA6"/>
    <w:rsid w:val="00B03962"/>
    <w:rsid w:val="00B200F8"/>
    <w:rsid w:val="00B27341"/>
    <w:rsid w:val="00B81B62"/>
    <w:rsid w:val="00B92BA8"/>
    <w:rsid w:val="00BD1CAA"/>
    <w:rsid w:val="00C33982"/>
    <w:rsid w:val="00C66B40"/>
    <w:rsid w:val="00C8755B"/>
    <w:rsid w:val="00D5757D"/>
    <w:rsid w:val="00D6448C"/>
    <w:rsid w:val="00D66C95"/>
    <w:rsid w:val="00D84572"/>
    <w:rsid w:val="00DD3B36"/>
    <w:rsid w:val="00E17028"/>
    <w:rsid w:val="00E72B5E"/>
    <w:rsid w:val="00E7483E"/>
    <w:rsid w:val="00E92173"/>
    <w:rsid w:val="00F306D3"/>
    <w:rsid w:val="00F36BCE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C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70E1-4BD8-4FFD-8FE1-F3BE443B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2021-08-25T12:10:00Z</dcterms:created>
  <dcterms:modified xsi:type="dcterms:W3CDTF">2021-08-25T12:10:00Z</dcterms:modified>
</cp:coreProperties>
</file>