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F9ECD" w14:textId="4ADB0112" w:rsidR="007C3A8C" w:rsidRPr="00F215E0" w:rsidRDefault="00702086" w:rsidP="00140BC0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bookmarkStart w:id="0" w:name="_GoBack"/>
      <w:r w:rsidRPr="00F215E0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311D8CF">
            <wp:simplePos x="0" y="0"/>
            <wp:positionH relativeFrom="column">
              <wp:posOffset>618439</wp:posOffset>
            </wp:positionH>
            <wp:positionV relativeFrom="paragraph">
              <wp:posOffset>72948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8C" w:rsidRPr="00F215E0">
        <w:rPr>
          <w:spacing w:val="20"/>
        </w:rPr>
        <w:t xml:space="preserve"> </w:t>
      </w:r>
    </w:p>
    <w:p w14:paraId="26BC11B7" w14:textId="6BCA4C38" w:rsidR="007C3A8C" w:rsidRPr="00F215E0" w:rsidRDefault="007C3A8C" w:rsidP="00140BC0">
      <w:pPr>
        <w:pStyle w:val="Nagwek"/>
        <w:spacing w:line="360" w:lineRule="auto"/>
        <w:ind w:right="4959"/>
        <w:jc w:val="center"/>
        <w:rPr>
          <w:b/>
        </w:rPr>
      </w:pPr>
    </w:p>
    <w:p w14:paraId="62D3B3CA" w14:textId="77777777" w:rsidR="007C3A8C" w:rsidRPr="00F215E0" w:rsidRDefault="007C3A8C" w:rsidP="00140BC0">
      <w:pPr>
        <w:pStyle w:val="Nagwek"/>
        <w:spacing w:line="360" w:lineRule="auto"/>
        <w:ind w:left="-851" w:right="5526"/>
        <w:jc w:val="center"/>
        <w:rPr>
          <w:b/>
        </w:rPr>
      </w:pPr>
      <w:r w:rsidRPr="00F215E0">
        <w:rPr>
          <w:b/>
        </w:rPr>
        <w:t>KRAJOWA SZKOŁA</w:t>
      </w:r>
    </w:p>
    <w:p w14:paraId="6EA534E8" w14:textId="77777777" w:rsidR="007C3A8C" w:rsidRPr="00F215E0" w:rsidRDefault="007C3A8C" w:rsidP="00140BC0">
      <w:pPr>
        <w:pStyle w:val="Nagwek"/>
        <w:spacing w:line="360" w:lineRule="auto"/>
        <w:ind w:left="-851" w:right="5526"/>
        <w:jc w:val="center"/>
        <w:rPr>
          <w:b/>
        </w:rPr>
      </w:pPr>
      <w:r w:rsidRPr="00F215E0">
        <w:rPr>
          <w:b/>
        </w:rPr>
        <w:t xml:space="preserve"> SĄDOWNICTWA I PROKURATURY</w:t>
      </w:r>
    </w:p>
    <w:p w14:paraId="52EB9108" w14:textId="77777777" w:rsidR="007C3A8C" w:rsidRPr="00F215E0" w:rsidRDefault="007C3A8C" w:rsidP="00140BC0">
      <w:pPr>
        <w:pStyle w:val="Nagwek"/>
        <w:spacing w:line="360" w:lineRule="auto"/>
        <w:ind w:right="4392" w:hanging="283"/>
        <w:rPr>
          <w:b/>
        </w:rPr>
      </w:pPr>
    </w:p>
    <w:p w14:paraId="3227B759" w14:textId="5811BE11" w:rsidR="007C3A8C" w:rsidRPr="00F215E0" w:rsidRDefault="007C3A8C" w:rsidP="00140BC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Kraków, </w:t>
      </w:r>
      <w:r w:rsidR="00A83C0D">
        <w:rPr>
          <w:rFonts w:ascii="Times New Roman" w:hAnsi="Times New Roman"/>
          <w:sz w:val="24"/>
          <w:szCs w:val="24"/>
        </w:rPr>
        <w:t>24</w:t>
      </w:r>
      <w:r w:rsidR="001D1644" w:rsidRPr="00F215E0">
        <w:rPr>
          <w:rFonts w:ascii="Times New Roman" w:hAnsi="Times New Roman"/>
          <w:sz w:val="24"/>
          <w:szCs w:val="24"/>
        </w:rPr>
        <w:t xml:space="preserve"> marca 2022</w:t>
      </w:r>
      <w:r w:rsidRPr="00F215E0">
        <w:rPr>
          <w:rFonts w:ascii="Times New Roman" w:hAnsi="Times New Roman"/>
          <w:sz w:val="24"/>
          <w:szCs w:val="24"/>
        </w:rPr>
        <w:t xml:space="preserve"> </w:t>
      </w:r>
      <w:r w:rsidR="00882FF8">
        <w:rPr>
          <w:rFonts w:ascii="Times New Roman" w:hAnsi="Times New Roman"/>
          <w:sz w:val="24"/>
          <w:szCs w:val="24"/>
        </w:rPr>
        <w:t>r</w:t>
      </w:r>
      <w:r w:rsidRPr="00F215E0">
        <w:rPr>
          <w:rFonts w:ascii="Times New Roman" w:hAnsi="Times New Roman"/>
          <w:sz w:val="24"/>
          <w:szCs w:val="24"/>
        </w:rPr>
        <w:t>.</w:t>
      </w:r>
    </w:p>
    <w:p w14:paraId="38B1AA33" w14:textId="268632F5" w:rsidR="007C3A8C" w:rsidRPr="00F215E0" w:rsidRDefault="007C3A8C" w:rsidP="00140B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15E0">
        <w:rPr>
          <w:rFonts w:ascii="Times New Roman" w:hAnsi="Times New Roman"/>
          <w:b/>
          <w:sz w:val="24"/>
          <w:szCs w:val="24"/>
        </w:rPr>
        <w:t>OAS-II.420.</w:t>
      </w:r>
      <w:r w:rsidR="00702086" w:rsidRPr="00F215E0">
        <w:rPr>
          <w:rFonts w:ascii="Times New Roman" w:hAnsi="Times New Roman"/>
          <w:b/>
          <w:sz w:val="24"/>
          <w:szCs w:val="24"/>
        </w:rPr>
        <w:t>72</w:t>
      </w:r>
      <w:r w:rsidR="00694CE4" w:rsidRPr="00F215E0">
        <w:rPr>
          <w:rFonts w:ascii="Times New Roman" w:hAnsi="Times New Roman"/>
          <w:b/>
          <w:sz w:val="24"/>
          <w:szCs w:val="24"/>
        </w:rPr>
        <w:t>.20</w:t>
      </w:r>
      <w:r w:rsidR="00E40B05" w:rsidRPr="00F215E0">
        <w:rPr>
          <w:rFonts w:ascii="Times New Roman" w:hAnsi="Times New Roman"/>
          <w:b/>
          <w:sz w:val="24"/>
          <w:szCs w:val="24"/>
        </w:rPr>
        <w:t>21</w:t>
      </w:r>
      <w:r w:rsidRPr="00F215E0">
        <w:rPr>
          <w:rFonts w:ascii="Times New Roman" w:hAnsi="Times New Roman"/>
          <w:b/>
          <w:sz w:val="24"/>
          <w:szCs w:val="24"/>
        </w:rPr>
        <w:t xml:space="preserve"> </w:t>
      </w:r>
    </w:p>
    <w:p w14:paraId="12DB2A57" w14:textId="7F785AF2" w:rsidR="007C3A8C" w:rsidRPr="00F215E0" w:rsidRDefault="007C3A8C" w:rsidP="00140BC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215E0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1D1644" w:rsidRPr="00F215E0">
        <w:rPr>
          <w:rFonts w:ascii="Times New Roman" w:hAnsi="Times New Roman"/>
          <w:i/>
          <w:sz w:val="24"/>
          <w:szCs w:val="24"/>
        </w:rPr>
        <w:t>XI</w:t>
      </w:r>
      <w:r w:rsidRPr="00F215E0">
        <w:rPr>
          <w:rFonts w:ascii="Times New Roman" w:hAnsi="Times New Roman"/>
          <w:i/>
          <w:sz w:val="24"/>
          <w:szCs w:val="24"/>
        </w:rPr>
        <w:t xml:space="preserve"> rocznika aplikacji sędziowskiej po </w:t>
      </w:r>
      <w:r w:rsidR="001D1644" w:rsidRPr="00F215E0">
        <w:rPr>
          <w:rFonts w:ascii="Times New Roman" w:hAnsi="Times New Roman"/>
          <w:i/>
          <w:sz w:val="24"/>
          <w:szCs w:val="24"/>
        </w:rPr>
        <w:t>24</w:t>
      </w:r>
      <w:r w:rsidRPr="00F215E0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F215E0" w:rsidRDefault="007C3A8C" w:rsidP="00140B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85CC67" w14:textId="77777777" w:rsidR="00702086" w:rsidRPr="00F215E0" w:rsidRDefault="00702086" w:rsidP="00140BC0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9C3E0D3" w14:textId="7F337112" w:rsidR="007C3A8C" w:rsidRPr="00F215E0" w:rsidRDefault="007C3A8C" w:rsidP="00140BC0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215E0">
        <w:rPr>
          <w:rFonts w:ascii="Times New Roman" w:hAnsi="Times New Roman"/>
          <w:b/>
          <w:sz w:val="24"/>
          <w:szCs w:val="24"/>
        </w:rPr>
        <w:t>Do</w:t>
      </w:r>
    </w:p>
    <w:p w14:paraId="2A94D1E6" w14:textId="37CA5551" w:rsidR="007C3A8C" w:rsidRPr="00F215E0" w:rsidRDefault="00F73311" w:rsidP="00140BC0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F215E0">
        <w:rPr>
          <w:rFonts w:ascii="Times New Roman" w:hAnsi="Times New Roman"/>
          <w:b/>
          <w:sz w:val="24"/>
          <w:szCs w:val="24"/>
        </w:rPr>
        <w:t>P</w:t>
      </w:r>
      <w:r w:rsidR="007C3A8C" w:rsidRPr="00F215E0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3E405773" w:rsidR="007C3A8C" w:rsidRPr="00F215E0" w:rsidRDefault="007C3A8C" w:rsidP="00140BC0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F215E0">
        <w:rPr>
          <w:rFonts w:ascii="Times New Roman" w:hAnsi="Times New Roman"/>
          <w:b/>
          <w:sz w:val="24"/>
          <w:szCs w:val="24"/>
        </w:rPr>
        <w:t xml:space="preserve">oraz </w:t>
      </w:r>
      <w:r w:rsidR="00F73311" w:rsidRPr="00F215E0">
        <w:rPr>
          <w:rFonts w:ascii="Times New Roman" w:hAnsi="Times New Roman"/>
          <w:b/>
          <w:sz w:val="24"/>
          <w:szCs w:val="24"/>
        </w:rPr>
        <w:t>P</w:t>
      </w:r>
      <w:r w:rsidRPr="00F215E0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77777777" w:rsidR="007C3A8C" w:rsidRPr="00F215E0" w:rsidRDefault="007C3A8C" w:rsidP="00140BC0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F215E0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29D65438" w14:textId="4EC4EBC6" w:rsidR="007C3A8C" w:rsidRPr="00F215E0" w:rsidRDefault="007C3A8C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95FBC5" w14:textId="77777777" w:rsidR="00702086" w:rsidRPr="00F215E0" w:rsidRDefault="00702086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326567" w14:textId="1894043B" w:rsidR="001757BD" w:rsidRPr="00F215E0" w:rsidRDefault="001D1644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U</w:t>
      </w:r>
      <w:r w:rsidR="007C3A8C" w:rsidRPr="00F215E0">
        <w:rPr>
          <w:rFonts w:ascii="Times New Roman" w:hAnsi="Times New Roman"/>
          <w:sz w:val="24"/>
          <w:szCs w:val="24"/>
        </w:rPr>
        <w:t xml:space="preserve">przejmie przedstawiam szczegółowy zakres tematyczny, który </w:t>
      </w:r>
      <w:r w:rsidR="00702086" w:rsidRPr="00F215E0">
        <w:rPr>
          <w:rFonts w:ascii="Times New Roman" w:hAnsi="Times New Roman"/>
          <w:sz w:val="24"/>
          <w:szCs w:val="24"/>
        </w:rPr>
        <w:t>po</w:t>
      </w:r>
      <w:r w:rsidR="007C3A8C" w:rsidRPr="00F215E0">
        <w:rPr>
          <w:rFonts w:ascii="Times New Roman" w:hAnsi="Times New Roman"/>
          <w:sz w:val="24"/>
          <w:szCs w:val="24"/>
        </w:rPr>
        <w:t xml:space="preserve">winien być przedmiotem praktyk aplikantów </w:t>
      </w:r>
      <w:r w:rsidRPr="00F215E0">
        <w:rPr>
          <w:rFonts w:ascii="Times New Roman" w:hAnsi="Times New Roman"/>
          <w:sz w:val="24"/>
          <w:szCs w:val="24"/>
        </w:rPr>
        <w:t>XI</w:t>
      </w:r>
      <w:r w:rsidR="007C3A8C" w:rsidRPr="00F215E0">
        <w:rPr>
          <w:rFonts w:ascii="Times New Roman" w:hAnsi="Times New Roman"/>
          <w:sz w:val="24"/>
          <w:szCs w:val="24"/>
        </w:rPr>
        <w:t xml:space="preserve"> rocznika aplikacji sędziowskiej</w:t>
      </w:r>
      <w:r w:rsidR="00702086" w:rsidRPr="00F215E0">
        <w:rPr>
          <w:rFonts w:ascii="Times New Roman" w:hAnsi="Times New Roman"/>
          <w:sz w:val="24"/>
          <w:szCs w:val="24"/>
        </w:rPr>
        <w:t>,</w:t>
      </w:r>
      <w:r w:rsidR="007C3A8C" w:rsidRPr="00F215E0">
        <w:rPr>
          <w:rFonts w:ascii="Times New Roman" w:hAnsi="Times New Roman"/>
          <w:sz w:val="24"/>
          <w:szCs w:val="24"/>
        </w:rPr>
        <w:t xml:space="preserve"> odbywanych w terminie </w:t>
      </w:r>
      <w:r w:rsidR="001757BD" w:rsidRPr="00F215E0">
        <w:rPr>
          <w:rFonts w:ascii="Times New Roman" w:hAnsi="Times New Roman"/>
          <w:b/>
          <w:sz w:val="24"/>
          <w:szCs w:val="24"/>
        </w:rPr>
        <w:t>od 19.04.2022 r. do </w:t>
      </w:r>
      <w:r w:rsidRPr="00F215E0">
        <w:rPr>
          <w:rFonts w:ascii="Times New Roman" w:hAnsi="Times New Roman"/>
          <w:b/>
          <w:sz w:val="24"/>
          <w:szCs w:val="24"/>
        </w:rPr>
        <w:t>13.05.2022 r.</w:t>
      </w:r>
      <w:r w:rsidR="00702086" w:rsidRPr="00F215E0">
        <w:rPr>
          <w:rFonts w:ascii="Times New Roman" w:hAnsi="Times New Roman"/>
          <w:sz w:val="24"/>
          <w:szCs w:val="24"/>
        </w:rPr>
        <w:t>,</w:t>
      </w:r>
      <w:r w:rsidR="008E7267" w:rsidRPr="00F215E0">
        <w:rPr>
          <w:rFonts w:ascii="Times New Roman" w:hAnsi="Times New Roman"/>
          <w:sz w:val="24"/>
          <w:szCs w:val="24"/>
        </w:rPr>
        <w:t xml:space="preserve"> </w:t>
      </w:r>
      <w:r w:rsidR="007C3A8C" w:rsidRPr="00F215E0">
        <w:rPr>
          <w:rFonts w:ascii="Times New Roman" w:hAnsi="Times New Roman"/>
          <w:sz w:val="24"/>
          <w:szCs w:val="24"/>
        </w:rPr>
        <w:t xml:space="preserve">po </w:t>
      </w:r>
      <w:r w:rsidRPr="00F215E0">
        <w:rPr>
          <w:rFonts w:ascii="Times New Roman" w:hAnsi="Times New Roman"/>
          <w:sz w:val="24"/>
          <w:szCs w:val="24"/>
        </w:rPr>
        <w:t xml:space="preserve">24. zjeździe, </w:t>
      </w:r>
      <w:r w:rsidR="001757BD" w:rsidRPr="00F215E0">
        <w:rPr>
          <w:rFonts w:ascii="Times New Roman" w:hAnsi="Times New Roman"/>
          <w:sz w:val="24"/>
          <w:szCs w:val="24"/>
        </w:rPr>
        <w:t xml:space="preserve">w sądzie rejonowym w wydziale cywilnym nieprocesowym, a jeżeli w danym sądzie nie ma wyodrębnionego wydziału nieprocesowego – w wydziale cywilnym ogólnym, </w:t>
      </w:r>
      <w:r w:rsidR="001757BD" w:rsidRPr="00F215E0">
        <w:rPr>
          <w:rFonts w:ascii="Times New Roman" w:hAnsi="Times New Roman"/>
          <w:b/>
          <w:sz w:val="24"/>
          <w:szCs w:val="24"/>
        </w:rPr>
        <w:t>z zastrzeżeniem, że przedmiotem praktyki powinny być</w:t>
      </w:r>
      <w:r w:rsidR="001757BD" w:rsidRPr="00F215E0">
        <w:rPr>
          <w:rFonts w:ascii="Times New Roman" w:hAnsi="Times New Roman"/>
          <w:sz w:val="24"/>
          <w:szCs w:val="24"/>
        </w:rPr>
        <w:t xml:space="preserve"> </w:t>
      </w:r>
      <w:r w:rsidR="001757BD" w:rsidRPr="00F215E0">
        <w:rPr>
          <w:rFonts w:ascii="Times New Roman" w:hAnsi="Times New Roman"/>
          <w:b/>
          <w:sz w:val="24"/>
          <w:szCs w:val="24"/>
        </w:rPr>
        <w:t>przede wszystkim sprawy nieprocesowe</w:t>
      </w:r>
      <w:r w:rsidR="001757BD" w:rsidRPr="00F215E0">
        <w:rPr>
          <w:rFonts w:ascii="Times New Roman" w:hAnsi="Times New Roman"/>
          <w:sz w:val="24"/>
          <w:szCs w:val="24"/>
        </w:rPr>
        <w:t xml:space="preserve">. </w:t>
      </w:r>
    </w:p>
    <w:p w14:paraId="58A1E9E3" w14:textId="6AD54006" w:rsidR="007C3A8C" w:rsidRPr="00F215E0" w:rsidRDefault="007C3A8C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F215E0">
        <w:rPr>
          <w:rFonts w:ascii="Times New Roman" w:hAnsi="Times New Roman"/>
          <w:sz w:val="24"/>
          <w:szCs w:val="24"/>
        </w:rPr>
        <w:t xml:space="preserve"> z czynnościami i </w:t>
      </w:r>
      <w:r w:rsidRPr="00F215E0">
        <w:rPr>
          <w:rFonts w:ascii="Times New Roman" w:hAnsi="Times New Roman"/>
          <w:sz w:val="24"/>
          <w:szCs w:val="24"/>
        </w:rPr>
        <w:t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bezpośrednio poprzedzających ją zajęć semina</w:t>
      </w:r>
      <w:r w:rsidR="001757BD" w:rsidRPr="00F215E0">
        <w:rPr>
          <w:rFonts w:ascii="Times New Roman" w:hAnsi="Times New Roman"/>
          <w:sz w:val="24"/>
          <w:szCs w:val="24"/>
        </w:rPr>
        <w:t>ryjnych w </w:t>
      </w:r>
      <w:r w:rsidRPr="00F215E0">
        <w:rPr>
          <w:rFonts w:ascii="Times New Roman" w:hAnsi="Times New Roman"/>
          <w:sz w:val="24"/>
          <w:szCs w:val="24"/>
        </w:rPr>
        <w:t xml:space="preserve">ramach zjazdu. </w:t>
      </w:r>
    </w:p>
    <w:p w14:paraId="56967EF5" w14:textId="0062C3B3" w:rsidR="00A76E09" w:rsidRPr="00F215E0" w:rsidRDefault="007C3A8C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Zgodnie z programem aplikacji sędziowskiej realizowanym przez aplikantów, przedmiotem </w:t>
      </w:r>
      <w:r w:rsidR="001757BD" w:rsidRPr="00F215E0">
        <w:rPr>
          <w:rFonts w:ascii="Times New Roman" w:hAnsi="Times New Roman"/>
          <w:sz w:val="24"/>
          <w:szCs w:val="24"/>
        </w:rPr>
        <w:t>24</w:t>
      </w:r>
      <w:r w:rsidRPr="00F215E0">
        <w:rPr>
          <w:rFonts w:ascii="Times New Roman" w:hAnsi="Times New Roman"/>
          <w:sz w:val="24"/>
          <w:szCs w:val="24"/>
        </w:rPr>
        <w:t xml:space="preserve"> zjazdu </w:t>
      </w:r>
      <w:r w:rsidR="00D84572" w:rsidRPr="00F215E0">
        <w:rPr>
          <w:rFonts w:ascii="Times New Roman" w:hAnsi="Times New Roman"/>
          <w:sz w:val="24"/>
          <w:szCs w:val="24"/>
        </w:rPr>
        <w:t xml:space="preserve">jest </w:t>
      </w:r>
      <w:r w:rsidR="00D84572" w:rsidRPr="00F215E0">
        <w:rPr>
          <w:rFonts w:ascii="Times New Roman" w:hAnsi="Times New Roman"/>
          <w:b/>
          <w:sz w:val="24"/>
          <w:szCs w:val="24"/>
        </w:rPr>
        <w:t xml:space="preserve">prawo </w:t>
      </w:r>
      <w:r w:rsidR="00225EE4" w:rsidRPr="00F215E0">
        <w:rPr>
          <w:rFonts w:ascii="Times New Roman" w:hAnsi="Times New Roman"/>
          <w:b/>
          <w:sz w:val="24"/>
          <w:szCs w:val="24"/>
        </w:rPr>
        <w:t xml:space="preserve">rzeczowe oraz </w:t>
      </w:r>
      <w:r w:rsidR="00D84572" w:rsidRPr="00F215E0">
        <w:rPr>
          <w:rFonts w:ascii="Times New Roman" w:hAnsi="Times New Roman"/>
          <w:b/>
          <w:sz w:val="24"/>
          <w:szCs w:val="24"/>
        </w:rPr>
        <w:t>postępowanie</w:t>
      </w:r>
      <w:r w:rsidR="00225EE4" w:rsidRPr="00F215E0">
        <w:rPr>
          <w:rFonts w:ascii="Times New Roman" w:hAnsi="Times New Roman"/>
          <w:b/>
          <w:sz w:val="24"/>
          <w:szCs w:val="24"/>
        </w:rPr>
        <w:t xml:space="preserve"> cywilne -</w:t>
      </w:r>
      <w:r w:rsidR="00D84572" w:rsidRPr="00F215E0">
        <w:rPr>
          <w:rFonts w:ascii="Times New Roman" w:hAnsi="Times New Roman"/>
          <w:b/>
          <w:sz w:val="24"/>
          <w:szCs w:val="24"/>
        </w:rPr>
        <w:t xml:space="preserve"> nieprocesowe</w:t>
      </w:r>
      <w:r w:rsidRPr="00F215E0">
        <w:rPr>
          <w:rFonts w:ascii="Times New Roman" w:hAnsi="Times New Roman"/>
          <w:sz w:val="24"/>
          <w:szCs w:val="24"/>
        </w:rPr>
        <w:t xml:space="preserve">. </w:t>
      </w:r>
    </w:p>
    <w:p w14:paraId="5CF8CCC1" w14:textId="77777777" w:rsidR="00702086" w:rsidRPr="00F215E0" w:rsidRDefault="00702086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916082" w14:textId="7496EC6B" w:rsidR="007C3A8C" w:rsidRPr="00F215E0" w:rsidRDefault="00085E89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W zakresie spraw </w:t>
      </w:r>
      <w:r w:rsidR="00225EE4" w:rsidRPr="00F215E0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F215E0">
        <w:rPr>
          <w:rFonts w:ascii="Times New Roman" w:hAnsi="Times New Roman"/>
          <w:sz w:val="24"/>
          <w:szCs w:val="24"/>
        </w:rPr>
        <w:t xml:space="preserve">patron praktyki oraz patron koordynator powinni przy pracy z aplikantami </w:t>
      </w:r>
      <w:r w:rsidR="0049107A" w:rsidRPr="00F215E0">
        <w:rPr>
          <w:rFonts w:ascii="Times New Roman" w:hAnsi="Times New Roman"/>
          <w:sz w:val="24"/>
          <w:szCs w:val="24"/>
        </w:rPr>
        <w:t xml:space="preserve">podczas praktyki </w:t>
      </w:r>
      <w:r w:rsidR="007C3A8C" w:rsidRPr="00F215E0">
        <w:rPr>
          <w:rFonts w:ascii="Times New Roman" w:hAnsi="Times New Roman"/>
          <w:sz w:val="24"/>
          <w:szCs w:val="24"/>
        </w:rPr>
        <w:t xml:space="preserve">poświęcić szczególną uwagę </w:t>
      </w:r>
      <w:r w:rsidR="001757BD" w:rsidRPr="00F215E0">
        <w:rPr>
          <w:rFonts w:ascii="Times New Roman" w:hAnsi="Times New Roman"/>
          <w:b/>
          <w:sz w:val="24"/>
          <w:szCs w:val="24"/>
        </w:rPr>
        <w:t>zagadnieniom z </w:t>
      </w:r>
      <w:r w:rsidR="007C3A8C" w:rsidRPr="00F215E0">
        <w:rPr>
          <w:rFonts w:ascii="Times New Roman" w:hAnsi="Times New Roman"/>
          <w:b/>
          <w:sz w:val="24"/>
          <w:szCs w:val="24"/>
        </w:rPr>
        <w:t>zakresu prawa materialnego</w:t>
      </w:r>
      <w:r w:rsidR="001757BD" w:rsidRPr="00F215E0">
        <w:rPr>
          <w:rFonts w:ascii="Times New Roman" w:hAnsi="Times New Roman"/>
          <w:b/>
          <w:sz w:val="24"/>
          <w:szCs w:val="24"/>
        </w:rPr>
        <w:t xml:space="preserve">, </w:t>
      </w:r>
      <w:r w:rsidR="001757BD" w:rsidRPr="00F215E0">
        <w:rPr>
          <w:rFonts w:ascii="Times New Roman" w:hAnsi="Times New Roman"/>
          <w:sz w:val="24"/>
          <w:szCs w:val="24"/>
        </w:rPr>
        <w:t>w skład których wchodzą</w:t>
      </w:r>
      <w:r w:rsidR="007C3A8C" w:rsidRPr="00F215E0">
        <w:rPr>
          <w:rFonts w:ascii="Times New Roman" w:hAnsi="Times New Roman"/>
          <w:sz w:val="24"/>
          <w:szCs w:val="24"/>
        </w:rPr>
        <w:t>:</w:t>
      </w:r>
    </w:p>
    <w:p w14:paraId="10D977AC" w14:textId="5D80EFFB" w:rsidR="005C6488" w:rsidRPr="00F215E0" w:rsidRDefault="00225EE4" w:rsidP="00140B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lastRenderedPageBreak/>
        <w:t>zasiedzenie</w:t>
      </w:r>
      <w:r w:rsidR="005C6488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własności nieruchomości</w:t>
      </w:r>
      <w:r w:rsidR="008E7267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(przesłanki zasiedzenia; 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>z</w:t>
      </w:r>
      <w:r w:rsidR="001757BD" w:rsidRPr="00F215E0">
        <w:rPr>
          <w:rFonts w:ascii="Times New Roman" w:eastAsia="Andale Sans UI" w:hAnsi="Times New Roman"/>
          <w:kern w:val="3"/>
          <w:sz w:val="24"/>
          <w:szCs w:val="24"/>
        </w:rPr>
        <w:t>asiedzenie ułamkowego udziału w 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>nieruchomości</w:t>
      </w:r>
      <w:r w:rsidR="008E7267" w:rsidRPr="00F215E0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a za</w:t>
      </w:r>
      <w:r w:rsidR="008E7267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siedzenie części nieruchomości; 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>nabycie w drodze zasiedzenia własności nieruchomości przez mał</w:t>
      </w:r>
      <w:r w:rsidR="008E7267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żonków; 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>zasiedzenie nieruchomości</w:t>
      </w:r>
      <w:r w:rsidR="005C6488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, która w okresie biegu zasiedzenia 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>stanowi</w:t>
      </w:r>
      <w:r w:rsidR="005C6488" w:rsidRPr="00F215E0">
        <w:rPr>
          <w:rFonts w:ascii="Times New Roman" w:eastAsia="Andale Sans UI" w:hAnsi="Times New Roman"/>
          <w:kern w:val="3"/>
          <w:sz w:val="24"/>
          <w:szCs w:val="24"/>
        </w:rPr>
        <w:t>ła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własność Skarbu Państwa</w:t>
      </w:r>
      <w:r w:rsidR="005C6488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oraz materialnoprawne skutki komunalizacji takiej nieruchomości w okresie biegu zasiedzenia</w:t>
      </w:r>
      <w:r w:rsidR="008E7267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; </w:t>
      </w:r>
      <w:r w:rsidR="00F215E0">
        <w:rPr>
          <w:rFonts w:ascii="Times New Roman" w:eastAsia="Andale Sans UI" w:hAnsi="Times New Roman"/>
          <w:kern w:val="3"/>
          <w:sz w:val="24"/>
          <w:szCs w:val="24"/>
        </w:rPr>
        <w:t>stosowanie w </w:t>
      </w:r>
      <w:r w:rsidR="005C6488" w:rsidRPr="00F215E0">
        <w:rPr>
          <w:rFonts w:ascii="Times New Roman" w:eastAsia="Andale Sans UI" w:hAnsi="Times New Roman"/>
          <w:kern w:val="3"/>
          <w:sz w:val="24"/>
          <w:szCs w:val="24"/>
        </w:rPr>
        <w:t>sprawach o zasiedzenie przepisów obowiązujących w różnych częściach kraju przed unifikacją prawa rzeczowego (BGB, ABGB, Kodeks Napo</w:t>
      </w:r>
      <w:r w:rsidR="008E7267" w:rsidRPr="00F215E0">
        <w:rPr>
          <w:rFonts w:ascii="Times New Roman" w:eastAsia="Andale Sans UI" w:hAnsi="Times New Roman"/>
          <w:kern w:val="3"/>
          <w:sz w:val="24"/>
          <w:szCs w:val="24"/>
        </w:rPr>
        <w:t>leona) i</w:t>
      </w:r>
      <w:r w:rsidR="00FA63EE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przepisów dekretu z dnia 11 października 1946 r. -</w:t>
      </w:r>
      <w:r w:rsidR="005C6488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Prawo rzeczowe</w:t>
      </w:r>
      <w:r w:rsidR="00FA63EE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 oraz przepisów intertemporalnych</w:t>
      </w:r>
      <w:r w:rsidR="008E7267" w:rsidRPr="00F215E0">
        <w:rPr>
          <w:rFonts w:ascii="Times New Roman" w:eastAsia="Andale Sans UI" w:hAnsi="Times New Roman"/>
          <w:kern w:val="3"/>
          <w:sz w:val="24"/>
          <w:szCs w:val="24"/>
        </w:rPr>
        <w:t>)</w:t>
      </w:r>
      <w:r w:rsidR="00FA63EE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; </w:t>
      </w:r>
    </w:p>
    <w:p w14:paraId="416CF400" w14:textId="77777777" w:rsidR="005C6488" w:rsidRPr="00F215E0" w:rsidRDefault="00225EE4" w:rsidP="00140B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>uwłaszczenie</w:t>
      </w:r>
      <w:r w:rsidR="005C6488" w:rsidRPr="00F215E0">
        <w:rPr>
          <w:rFonts w:ascii="Times New Roman" w:hAnsi="Times New Roman"/>
          <w:sz w:val="24"/>
          <w:szCs w:val="24"/>
        </w:rPr>
        <w:t xml:space="preserve"> </w:t>
      </w:r>
      <w:r w:rsidR="005C6488" w:rsidRPr="00F215E0">
        <w:rPr>
          <w:rFonts w:ascii="Times New Roman" w:eastAsia="Andale Sans UI" w:hAnsi="Times New Roman"/>
          <w:kern w:val="3"/>
          <w:sz w:val="24"/>
          <w:szCs w:val="24"/>
        </w:rPr>
        <w:t>na podstawie ustawy z dnia 27 października 1971 r. o uregulowaniu własności gospodarstw rolnych;</w:t>
      </w:r>
    </w:p>
    <w:p w14:paraId="0BD985CA" w14:textId="77777777" w:rsidR="005C6488" w:rsidRPr="00F215E0" w:rsidRDefault="005C6488" w:rsidP="00140B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>rozgraniczenie nieruchomości;</w:t>
      </w:r>
    </w:p>
    <w:p w14:paraId="1A7E3349" w14:textId="35BE84A1" w:rsidR="005C6488" w:rsidRPr="00F215E0" w:rsidRDefault="008E7267" w:rsidP="00140B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>współwłasność (</w:t>
      </w:r>
      <w:r w:rsidR="0008304C" w:rsidRPr="00F215E0">
        <w:rPr>
          <w:rFonts w:ascii="Times New Roman" w:eastAsia="Andale Sans UI" w:hAnsi="Times New Roman"/>
          <w:kern w:val="3"/>
          <w:sz w:val="24"/>
          <w:szCs w:val="24"/>
        </w:rPr>
        <w:t>uprawnieni</w:t>
      </w:r>
      <w:r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a i obowiązki współwłaścicieli; </w:t>
      </w:r>
      <w:r w:rsidR="00FA63EE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podział </w:t>
      </w:r>
      <w:r w:rsidR="00FA63EE" w:rsidRPr="00F215E0">
        <w:rPr>
          <w:rFonts w:ascii="Times New Roman" w:eastAsia="Andale Sans UI" w:hAnsi="Times New Roman"/>
          <w:i/>
          <w:kern w:val="3"/>
          <w:sz w:val="24"/>
          <w:szCs w:val="24"/>
        </w:rPr>
        <w:t>quoad usum</w:t>
      </w:r>
      <w:r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; </w:t>
      </w:r>
      <w:r w:rsidR="0008304C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zarząd rzeczą wspólną, </w:t>
      </w:r>
      <w:r w:rsidR="00FA63EE" w:rsidRPr="00F215E0">
        <w:rPr>
          <w:rFonts w:ascii="Times New Roman" w:eastAsia="Andale Sans UI" w:hAnsi="Times New Roman"/>
          <w:kern w:val="3"/>
          <w:sz w:val="24"/>
          <w:szCs w:val="24"/>
        </w:rPr>
        <w:t>rozróżnienie czynności zwykłego zarządu i czynności przekracz</w:t>
      </w:r>
      <w:r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ających zakres zwykłego zarządu; wyznaczenie zarządcy przez sąd - </w:t>
      </w:r>
      <w:r w:rsidR="0008304C" w:rsidRPr="00F215E0">
        <w:rPr>
          <w:rFonts w:ascii="Times New Roman" w:eastAsia="Andale Sans UI" w:hAnsi="Times New Roman"/>
          <w:kern w:val="3"/>
          <w:sz w:val="24"/>
          <w:szCs w:val="24"/>
        </w:rPr>
        <w:t>art. 203 k.c.);</w:t>
      </w:r>
    </w:p>
    <w:p w14:paraId="2222282A" w14:textId="6BB0E59B" w:rsidR="005C6488" w:rsidRPr="00F215E0" w:rsidRDefault="00225EE4" w:rsidP="00140B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>służebności i inne ograniczone prawa rzeczowe</w:t>
      </w:r>
      <w:r w:rsidR="0067695C"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, w tym w szczególności służebność drogi koniecznej i służebność przesyłu, </w:t>
      </w:r>
      <w:r w:rsidR="0008304C" w:rsidRPr="00F215E0">
        <w:rPr>
          <w:rFonts w:ascii="Times New Roman" w:eastAsia="Andale Sans UI" w:hAnsi="Times New Roman"/>
          <w:kern w:val="3"/>
          <w:sz w:val="24"/>
          <w:szCs w:val="24"/>
        </w:rPr>
        <w:t>zasiedz</w:t>
      </w:r>
      <w:r w:rsidR="00534FC5" w:rsidRPr="00F215E0">
        <w:rPr>
          <w:rFonts w:ascii="Times New Roman" w:eastAsia="Andale Sans UI" w:hAnsi="Times New Roman"/>
          <w:kern w:val="3"/>
          <w:sz w:val="24"/>
          <w:szCs w:val="24"/>
        </w:rPr>
        <w:t>enie służebności</w:t>
      </w:r>
      <w:r w:rsidR="001757BD" w:rsidRPr="00F215E0">
        <w:rPr>
          <w:rFonts w:ascii="Times New Roman" w:eastAsia="Andale Sans UI" w:hAnsi="Times New Roman"/>
          <w:kern w:val="3"/>
          <w:sz w:val="24"/>
          <w:szCs w:val="24"/>
        </w:rPr>
        <w:t>.</w:t>
      </w:r>
    </w:p>
    <w:p w14:paraId="0E062586" w14:textId="77777777" w:rsidR="00702086" w:rsidRPr="00F215E0" w:rsidRDefault="00702086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6B8683" w14:textId="4FD3DE5B" w:rsidR="00B81B62" w:rsidRPr="00F215E0" w:rsidRDefault="00B81B62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istotą postępowania nieprocesowego, a przede wszystkim z odrębnościami tego postępowania w stosunku do procesu. Koniecznym jest zatem </w:t>
      </w:r>
      <w:r w:rsidRPr="00F215E0">
        <w:rPr>
          <w:rFonts w:ascii="Times New Roman" w:hAnsi="Times New Roman"/>
          <w:b/>
          <w:sz w:val="24"/>
          <w:szCs w:val="24"/>
        </w:rPr>
        <w:t>zaznajomienie aplikantów ze specyfiką postępowania nieprocesowego</w:t>
      </w:r>
      <w:r w:rsidRPr="00F215E0">
        <w:rPr>
          <w:rFonts w:ascii="Times New Roman" w:hAnsi="Times New Roman"/>
          <w:sz w:val="24"/>
          <w:szCs w:val="24"/>
        </w:rPr>
        <w:t xml:space="preserve"> na przykładach najczęściej spotykanych spraw z zakresu prawa rzeczowego. </w:t>
      </w:r>
      <w:r w:rsidR="00AC7DA6" w:rsidRPr="00F215E0">
        <w:rPr>
          <w:rFonts w:ascii="Times New Roman" w:hAnsi="Times New Roman"/>
          <w:sz w:val="24"/>
          <w:szCs w:val="24"/>
        </w:rPr>
        <w:t xml:space="preserve">Wśród zagadnień z tego </w:t>
      </w:r>
      <w:r w:rsidR="00D6448C" w:rsidRPr="00F215E0">
        <w:rPr>
          <w:rFonts w:ascii="Times New Roman" w:hAnsi="Times New Roman"/>
          <w:sz w:val="24"/>
          <w:szCs w:val="24"/>
        </w:rPr>
        <w:t xml:space="preserve">zakresu </w:t>
      </w:r>
      <w:r w:rsidR="00AC7DA6" w:rsidRPr="00F215E0">
        <w:rPr>
          <w:rFonts w:ascii="Times New Roman" w:hAnsi="Times New Roman"/>
          <w:sz w:val="24"/>
          <w:szCs w:val="24"/>
        </w:rPr>
        <w:t>należy zwrócić uwagę zwłaszcza na kwestie</w:t>
      </w:r>
      <w:r w:rsidR="001757BD" w:rsidRPr="00F215E0">
        <w:rPr>
          <w:rFonts w:ascii="Times New Roman" w:hAnsi="Times New Roman"/>
          <w:sz w:val="24"/>
          <w:szCs w:val="24"/>
        </w:rPr>
        <w:t xml:space="preserve"> takie, jak</w:t>
      </w:r>
      <w:r w:rsidR="00AC7DA6" w:rsidRPr="00F215E0">
        <w:rPr>
          <w:rFonts w:ascii="Times New Roman" w:hAnsi="Times New Roman"/>
          <w:sz w:val="24"/>
          <w:szCs w:val="24"/>
        </w:rPr>
        <w:t>:</w:t>
      </w:r>
    </w:p>
    <w:p w14:paraId="1F140C5C" w14:textId="77777777" w:rsidR="00AC7DA6" w:rsidRPr="00F215E0" w:rsidRDefault="00AC7DA6" w:rsidP="00140BC0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wymogi formalne wniosku o wszczęcie postępowania nieprocesowego;</w:t>
      </w:r>
    </w:p>
    <w:p w14:paraId="0B98CCAB" w14:textId="6574BA20" w:rsidR="00AC7DA6" w:rsidRPr="00882FF8" w:rsidRDefault="00AC7DA6" w:rsidP="00882FF8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właściwość miejscowa sądu; </w:t>
      </w:r>
      <w:r w:rsidRPr="00882FF8">
        <w:rPr>
          <w:rFonts w:ascii="Times New Roman" w:hAnsi="Times New Roman"/>
          <w:sz w:val="24"/>
          <w:szCs w:val="24"/>
        </w:rPr>
        <w:t>uczestnicy postępowania nieprocesowego, pojęcie „zainteresowanego” (art. 510 § 1 k.p.c.);</w:t>
      </w:r>
    </w:p>
    <w:p w14:paraId="7FF06C12" w14:textId="76632758" w:rsidR="00AC7DA6" w:rsidRPr="00F215E0" w:rsidRDefault="00AC7DA6" w:rsidP="00140BC0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czynności sądu podejmowane z urzędu (np. wezwanie zainteres</w:t>
      </w:r>
      <w:r w:rsidR="00F215E0">
        <w:rPr>
          <w:rFonts w:ascii="Times New Roman" w:hAnsi="Times New Roman"/>
          <w:sz w:val="24"/>
          <w:szCs w:val="24"/>
        </w:rPr>
        <w:t>owanego do udziału w </w:t>
      </w:r>
      <w:r w:rsidR="001757BD" w:rsidRPr="00F215E0">
        <w:rPr>
          <w:rFonts w:ascii="Times New Roman" w:hAnsi="Times New Roman"/>
          <w:sz w:val="24"/>
          <w:szCs w:val="24"/>
        </w:rPr>
        <w:t>sprawie, a </w:t>
      </w:r>
      <w:r w:rsidRPr="00F215E0">
        <w:rPr>
          <w:rFonts w:ascii="Times New Roman" w:hAnsi="Times New Roman"/>
          <w:sz w:val="24"/>
          <w:szCs w:val="24"/>
        </w:rPr>
        <w:t xml:space="preserve">w </w:t>
      </w:r>
      <w:r w:rsidR="001757BD" w:rsidRPr="00F215E0">
        <w:rPr>
          <w:rFonts w:ascii="Times New Roman" w:hAnsi="Times New Roman"/>
          <w:sz w:val="24"/>
          <w:szCs w:val="24"/>
        </w:rPr>
        <w:t> </w:t>
      </w:r>
      <w:r w:rsidRPr="00F215E0">
        <w:rPr>
          <w:rFonts w:ascii="Times New Roman" w:hAnsi="Times New Roman"/>
          <w:sz w:val="24"/>
          <w:szCs w:val="24"/>
        </w:rPr>
        <w:t>razie potrzeby ustanowienie dla niego kuratora – art. 510 § 2 k.p.c.);</w:t>
      </w:r>
    </w:p>
    <w:p w14:paraId="456EF855" w14:textId="77777777" w:rsidR="00AC7DA6" w:rsidRPr="00F215E0" w:rsidRDefault="00AC7DA6" w:rsidP="00140BC0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możliwość wezwania zainteresowanych do udziału w sprawie przez ogłoszenie; </w:t>
      </w:r>
    </w:p>
    <w:p w14:paraId="4D39B037" w14:textId="77777777" w:rsidR="00AC7DA6" w:rsidRPr="00F215E0" w:rsidRDefault="00AC7DA6" w:rsidP="00140BC0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rozprawa a posiedzenie jawne niebędące rozprawą, możliwość oddalenia wniosku na posiedzeniu niejawnym (art. 514 § 2 k.p.c.);</w:t>
      </w:r>
    </w:p>
    <w:p w14:paraId="1EE4D928" w14:textId="1E66FD2D" w:rsidR="00AC7DA6" w:rsidRPr="00882FF8" w:rsidRDefault="00AC7DA6" w:rsidP="00882FF8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rodzaje orzeczeń co do istoty sprawy, postanowienie wstępne</w:t>
      </w:r>
      <w:r w:rsidR="006B1A06" w:rsidRPr="00F215E0">
        <w:rPr>
          <w:rFonts w:ascii="Times New Roman" w:hAnsi="Times New Roman"/>
          <w:sz w:val="24"/>
          <w:szCs w:val="24"/>
        </w:rPr>
        <w:t xml:space="preserve">, </w:t>
      </w:r>
      <w:r w:rsidRPr="00F215E0">
        <w:rPr>
          <w:rFonts w:ascii="Times New Roman" w:hAnsi="Times New Roman"/>
          <w:sz w:val="24"/>
          <w:szCs w:val="24"/>
        </w:rPr>
        <w:t>postanowienie częściowe,  postanowienie uzupełniające;</w:t>
      </w:r>
      <w:r w:rsidR="00882FF8">
        <w:rPr>
          <w:rFonts w:ascii="Times New Roman" w:hAnsi="Times New Roman"/>
          <w:sz w:val="24"/>
          <w:szCs w:val="24"/>
        </w:rPr>
        <w:t xml:space="preserve"> </w:t>
      </w:r>
      <w:r w:rsidRPr="00882FF8">
        <w:rPr>
          <w:rFonts w:ascii="Times New Roman" w:hAnsi="Times New Roman"/>
          <w:sz w:val="24"/>
          <w:szCs w:val="24"/>
        </w:rPr>
        <w:t>kos</w:t>
      </w:r>
      <w:r w:rsidR="00D6448C" w:rsidRPr="00882FF8">
        <w:rPr>
          <w:rFonts w:ascii="Times New Roman" w:hAnsi="Times New Roman"/>
          <w:sz w:val="24"/>
          <w:szCs w:val="24"/>
        </w:rPr>
        <w:t>zty postępowania nieprocesowego;</w:t>
      </w:r>
    </w:p>
    <w:p w14:paraId="4C6BA940" w14:textId="77777777" w:rsidR="00AC7DA6" w:rsidRPr="00F215E0" w:rsidRDefault="00AC7DA6" w:rsidP="00140BC0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wznowienie postępowania nieprocesowego.</w:t>
      </w:r>
    </w:p>
    <w:p w14:paraId="20CD20BF" w14:textId="599F7E42" w:rsidR="001757BD" w:rsidRPr="00F215E0" w:rsidRDefault="00B81B62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lastRenderedPageBreak/>
        <w:t xml:space="preserve">Szczególną uwagę należy poświęcić zagadnieniom procesowych i technicznych aspektów postępowania dowodowego, z uwzględnieniem sposobu redagowania </w:t>
      </w:r>
      <w:r w:rsidRPr="00F215E0">
        <w:rPr>
          <w:rFonts w:ascii="Times New Roman" w:hAnsi="Times New Roman"/>
          <w:b/>
          <w:sz w:val="24"/>
          <w:szCs w:val="24"/>
        </w:rPr>
        <w:t xml:space="preserve">postanowień dowodowych dopuszczających dowód z opinii biegłych </w:t>
      </w:r>
      <w:r w:rsidRPr="00F215E0">
        <w:rPr>
          <w:rFonts w:ascii="Times New Roman" w:hAnsi="Times New Roman"/>
          <w:sz w:val="24"/>
          <w:szCs w:val="24"/>
        </w:rPr>
        <w:t>ró</w:t>
      </w:r>
      <w:r w:rsidR="00F215E0">
        <w:rPr>
          <w:rFonts w:ascii="Times New Roman" w:hAnsi="Times New Roman"/>
          <w:sz w:val="24"/>
          <w:szCs w:val="24"/>
        </w:rPr>
        <w:t>żnych specjalności w sprawach z </w:t>
      </w:r>
      <w:r w:rsidRPr="00F215E0">
        <w:rPr>
          <w:rFonts w:ascii="Times New Roman" w:hAnsi="Times New Roman"/>
          <w:sz w:val="24"/>
          <w:szCs w:val="24"/>
        </w:rPr>
        <w:t>zakresu prawa rzeczowego oraz</w:t>
      </w:r>
      <w:r w:rsidRPr="00F215E0">
        <w:rPr>
          <w:rFonts w:ascii="Times New Roman" w:hAnsi="Times New Roman"/>
          <w:b/>
          <w:sz w:val="24"/>
          <w:szCs w:val="24"/>
        </w:rPr>
        <w:t xml:space="preserve"> redagowania orzeczeń </w:t>
      </w:r>
      <w:r w:rsidRPr="00F215E0">
        <w:rPr>
          <w:rFonts w:ascii="Times New Roman" w:hAnsi="Times New Roman"/>
          <w:sz w:val="24"/>
          <w:szCs w:val="24"/>
        </w:rPr>
        <w:t xml:space="preserve">w sprawach, w których integralną część orzeczenia stanowią opinie biegłych. </w:t>
      </w:r>
    </w:p>
    <w:p w14:paraId="2EAE8714" w14:textId="1EF93527" w:rsidR="001757BD" w:rsidRPr="00F215E0" w:rsidRDefault="00B81B62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Należy też omówić zagadnienia związane z przeprowadzeniem </w:t>
      </w:r>
      <w:r w:rsidRPr="00F215E0">
        <w:rPr>
          <w:rFonts w:ascii="Times New Roman" w:hAnsi="Times New Roman"/>
          <w:b/>
          <w:sz w:val="24"/>
          <w:szCs w:val="24"/>
        </w:rPr>
        <w:t>dowodu z oględzin</w:t>
      </w:r>
      <w:r w:rsidRPr="00F215E0">
        <w:rPr>
          <w:rFonts w:ascii="Times New Roman" w:hAnsi="Times New Roman"/>
          <w:sz w:val="24"/>
          <w:szCs w:val="24"/>
        </w:rPr>
        <w:t xml:space="preserve"> nieruchomości (np. w sprawach o ustanowienie drogi ko</w:t>
      </w:r>
      <w:r w:rsidR="00F215E0">
        <w:rPr>
          <w:rFonts w:ascii="Times New Roman" w:hAnsi="Times New Roman"/>
          <w:sz w:val="24"/>
          <w:szCs w:val="24"/>
        </w:rPr>
        <w:t>niecznej, o rozgraniczenie), ze </w:t>
      </w:r>
      <w:r w:rsidRPr="00F215E0">
        <w:rPr>
          <w:rFonts w:ascii="Times New Roman" w:hAnsi="Times New Roman"/>
          <w:sz w:val="24"/>
          <w:szCs w:val="24"/>
        </w:rPr>
        <w:t>sporządzeniem protokołu z tej czynności wraz z załącznikiem graficznym (ewentualnie ta</w:t>
      </w:r>
      <w:r w:rsidR="00F36BCE" w:rsidRPr="00F215E0">
        <w:rPr>
          <w:rFonts w:ascii="Times New Roman" w:hAnsi="Times New Roman"/>
          <w:sz w:val="24"/>
          <w:szCs w:val="24"/>
        </w:rPr>
        <w:t>kże dokumentacją fotograficzną).</w:t>
      </w:r>
      <w:r w:rsidRPr="00F215E0">
        <w:rPr>
          <w:rFonts w:ascii="Times New Roman" w:hAnsi="Times New Roman"/>
          <w:sz w:val="24"/>
          <w:szCs w:val="24"/>
        </w:rPr>
        <w:t xml:space="preserve"> </w:t>
      </w:r>
    </w:p>
    <w:p w14:paraId="7FBC5F84" w14:textId="77777777" w:rsidR="001757BD" w:rsidRPr="00F215E0" w:rsidRDefault="00B81B62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Celowym jest także zaznajomienie aplikantów </w:t>
      </w:r>
      <w:r w:rsidRPr="00F215E0">
        <w:rPr>
          <w:rFonts w:ascii="Times New Roman" w:hAnsi="Times New Roman"/>
          <w:b/>
          <w:sz w:val="24"/>
          <w:szCs w:val="24"/>
        </w:rPr>
        <w:t>z odczytywaniem map geodezyjnych</w:t>
      </w:r>
      <w:r w:rsidRPr="00F215E0">
        <w:rPr>
          <w:rFonts w:ascii="Times New Roman" w:hAnsi="Times New Roman"/>
          <w:sz w:val="24"/>
          <w:szCs w:val="24"/>
        </w:rPr>
        <w:t xml:space="preserve">, </w:t>
      </w:r>
      <w:r w:rsidRPr="00F215E0">
        <w:rPr>
          <w:rFonts w:ascii="Times New Roman" w:hAnsi="Times New Roman"/>
          <w:b/>
          <w:sz w:val="24"/>
          <w:szCs w:val="24"/>
        </w:rPr>
        <w:t>map sytuacyjno-wysokościowych oraz analizą odpisów z ksiąg wieczystych lub zbioru dokumentów</w:t>
      </w:r>
      <w:r w:rsidRPr="00F215E0">
        <w:rPr>
          <w:rFonts w:ascii="Times New Roman" w:hAnsi="Times New Roman"/>
          <w:sz w:val="24"/>
          <w:szCs w:val="24"/>
        </w:rPr>
        <w:t xml:space="preserve">.  </w:t>
      </w:r>
    </w:p>
    <w:p w14:paraId="5948CE4C" w14:textId="24DB102C" w:rsidR="00B81B62" w:rsidRPr="00F215E0" w:rsidRDefault="00B81B62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Przy pracy z aplikantami należy zwrócić uwagę na wszelkie techniczne aspekty przesłuchania świadków na gruncie, przy czym pożądanym byłoby, aby w trakcie praktyki aplikanci mogli uczestniczyć </w:t>
      </w:r>
      <w:r w:rsidRPr="00F215E0">
        <w:rPr>
          <w:rFonts w:ascii="Times New Roman" w:hAnsi="Times New Roman"/>
          <w:b/>
          <w:sz w:val="24"/>
          <w:szCs w:val="24"/>
        </w:rPr>
        <w:t>w czynnościach na gruncie</w:t>
      </w:r>
      <w:r w:rsidRPr="00F215E0">
        <w:rPr>
          <w:rFonts w:ascii="Times New Roman" w:hAnsi="Times New Roman"/>
          <w:sz w:val="24"/>
          <w:szCs w:val="24"/>
        </w:rPr>
        <w:t>.</w:t>
      </w:r>
    </w:p>
    <w:p w14:paraId="7B8FB210" w14:textId="77777777" w:rsidR="00140BC0" w:rsidRPr="00F215E0" w:rsidRDefault="00140BC0" w:rsidP="00140B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ECA484" w14:textId="601AB49C" w:rsidR="00BA0491" w:rsidRPr="00F215E0" w:rsidRDefault="00BA0491" w:rsidP="00140B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</w:t>
      </w:r>
      <w:r w:rsidRPr="00F215E0">
        <w:rPr>
          <w:rFonts w:ascii="Times New Roman" w:hAnsi="Times New Roman"/>
          <w:b/>
          <w:sz w:val="24"/>
          <w:szCs w:val="24"/>
        </w:rPr>
        <w:t xml:space="preserve">omówić z aplikantem </w:t>
      </w:r>
      <w:r w:rsidRPr="00F215E0">
        <w:rPr>
          <w:rFonts w:ascii="Times New Roman" w:hAnsi="Times New Roman"/>
          <w:sz w:val="24"/>
          <w:szCs w:val="24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14:paraId="7B7052DC" w14:textId="77777777" w:rsidR="00BA0491" w:rsidRPr="00F215E0" w:rsidRDefault="00BA0491" w:rsidP="00140BC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15E0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74084C6F" w14:textId="77777777" w:rsidR="00140BC0" w:rsidRPr="00F215E0" w:rsidRDefault="00140BC0" w:rsidP="00140BC0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4D605C8" w14:textId="700B7B31" w:rsidR="00BA0491" w:rsidRPr="00F215E0" w:rsidRDefault="00BA0491" w:rsidP="00140BC0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215E0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</w:t>
      </w:r>
      <w:r w:rsidR="00882FF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14:paraId="2624DDA5" w14:textId="77777777" w:rsidR="00F215E0" w:rsidRDefault="00F215E0" w:rsidP="00140BC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64DB2512" w14:textId="3AF6B906" w:rsidR="00BA0491" w:rsidRPr="00F215E0" w:rsidRDefault="00BA0491" w:rsidP="00140BC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Należy zlecić aplikantowi sporządzenie:</w:t>
      </w:r>
    </w:p>
    <w:p w14:paraId="30CE0BB1" w14:textId="0381EA76" w:rsidR="00BA0491" w:rsidRPr="00F215E0" w:rsidRDefault="00BA0491" w:rsidP="00140BC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 projekt</w:t>
      </w:r>
      <w:r w:rsidR="00140BC0" w:rsidRPr="00F215E0">
        <w:rPr>
          <w:rFonts w:ascii="Times New Roman" w:hAnsi="Times New Roman"/>
          <w:sz w:val="24"/>
          <w:szCs w:val="24"/>
        </w:rPr>
        <w:t>u</w:t>
      </w:r>
      <w:r w:rsidRPr="00F215E0">
        <w:rPr>
          <w:rFonts w:ascii="Times New Roman" w:hAnsi="Times New Roman"/>
          <w:sz w:val="24"/>
          <w:szCs w:val="24"/>
        </w:rPr>
        <w:t xml:space="preserve"> </w:t>
      </w:r>
      <w:r w:rsidR="00140BC0" w:rsidRPr="00F215E0">
        <w:rPr>
          <w:rFonts w:ascii="Times New Roman" w:hAnsi="Times New Roman"/>
          <w:sz w:val="24"/>
          <w:szCs w:val="24"/>
        </w:rPr>
        <w:t>orzeczenia</w:t>
      </w:r>
      <w:r w:rsidRPr="00F215E0">
        <w:rPr>
          <w:rFonts w:ascii="Times New Roman" w:hAnsi="Times New Roman"/>
          <w:sz w:val="24"/>
          <w:szCs w:val="24"/>
        </w:rPr>
        <w:t xml:space="preserve"> </w:t>
      </w:r>
      <w:r w:rsidR="00140BC0" w:rsidRPr="00F215E0">
        <w:rPr>
          <w:rFonts w:ascii="Times New Roman" w:hAnsi="Times New Roman"/>
          <w:sz w:val="24"/>
          <w:szCs w:val="24"/>
        </w:rPr>
        <w:t>końcowego</w:t>
      </w:r>
      <w:r w:rsidRPr="00F215E0">
        <w:rPr>
          <w:rFonts w:ascii="Times New Roman" w:hAnsi="Times New Roman"/>
          <w:sz w:val="24"/>
          <w:szCs w:val="24"/>
        </w:rPr>
        <w:t xml:space="preserve"> wraz z uzasadnieniem </w:t>
      </w:r>
      <w:r w:rsidR="00882FF8">
        <w:rPr>
          <w:rFonts w:ascii="Times New Roman" w:hAnsi="Times New Roman"/>
          <w:sz w:val="24"/>
          <w:szCs w:val="24"/>
        </w:rPr>
        <w:t xml:space="preserve">(oraz zarządzeniami) </w:t>
      </w:r>
      <w:r w:rsidRPr="00F215E0">
        <w:rPr>
          <w:rFonts w:ascii="Times New Roman" w:hAnsi="Times New Roman"/>
          <w:sz w:val="24"/>
          <w:szCs w:val="24"/>
        </w:rPr>
        <w:t>w sprawach</w:t>
      </w:r>
      <w:r w:rsidRPr="00F215E0">
        <w:rPr>
          <w:rFonts w:ascii="Times New Roman" w:eastAsia="Times New Roman" w:hAnsi="Times New Roman"/>
          <w:sz w:val="24"/>
          <w:szCs w:val="24"/>
        </w:rPr>
        <w:t>:</w:t>
      </w:r>
    </w:p>
    <w:p w14:paraId="6EE4386E" w14:textId="2A0C5476" w:rsidR="009F2796" w:rsidRPr="00F215E0" w:rsidRDefault="00882FF8" w:rsidP="00140BC0">
      <w:pPr>
        <w:pStyle w:val="Teksttreci60"/>
        <w:numPr>
          <w:ilvl w:val="0"/>
          <w:numId w:val="2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A0491" w:rsidRPr="00F215E0">
        <w:rPr>
          <w:sz w:val="24"/>
          <w:szCs w:val="24"/>
        </w:rPr>
        <w:t xml:space="preserve">o </w:t>
      </w:r>
      <w:r w:rsidR="009F2796" w:rsidRPr="00F215E0">
        <w:rPr>
          <w:sz w:val="24"/>
          <w:szCs w:val="24"/>
        </w:rPr>
        <w:t>zasiedzenie</w:t>
      </w:r>
      <w:r w:rsidR="00140BC0" w:rsidRPr="00F215E0">
        <w:rPr>
          <w:sz w:val="24"/>
          <w:szCs w:val="24"/>
        </w:rPr>
        <w:t xml:space="preserve"> nieruchomości lub udziału we współwłasności nieruchomości</w:t>
      </w:r>
      <w:r w:rsidR="009F2796" w:rsidRPr="00F215E0">
        <w:rPr>
          <w:sz w:val="24"/>
          <w:szCs w:val="24"/>
        </w:rPr>
        <w:t xml:space="preserve">, </w:t>
      </w:r>
    </w:p>
    <w:p w14:paraId="4455B73E" w14:textId="3610F10F" w:rsidR="009F2796" w:rsidRPr="00F215E0" w:rsidRDefault="00882FF8" w:rsidP="00140BC0">
      <w:pPr>
        <w:pStyle w:val="Teksttreci60"/>
        <w:numPr>
          <w:ilvl w:val="0"/>
          <w:numId w:val="2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0491" w:rsidRPr="00F215E0">
        <w:rPr>
          <w:sz w:val="24"/>
          <w:szCs w:val="24"/>
        </w:rPr>
        <w:t xml:space="preserve">o </w:t>
      </w:r>
      <w:r w:rsidR="009F2796" w:rsidRPr="00F215E0">
        <w:rPr>
          <w:sz w:val="24"/>
          <w:szCs w:val="24"/>
        </w:rPr>
        <w:t>zasiedzenie służebności</w:t>
      </w:r>
      <w:r w:rsidR="00F215E0">
        <w:rPr>
          <w:sz w:val="24"/>
          <w:szCs w:val="24"/>
        </w:rPr>
        <w:t>,</w:t>
      </w:r>
    </w:p>
    <w:p w14:paraId="276392ED" w14:textId="42FC9D26" w:rsidR="009F2796" w:rsidRPr="00F215E0" w:rsidRDefault="00882FF8" w:rsidP="00140BC0">
      <w:pPr>
        <w:pStyle w:val="Teksttreci60"/>
        <w:numPr>
          <w:ilvl w:val="0"/>
          <w:numId w:val="2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F2796" w:rsidRPr="00F215E0">
        <w:rPr>
          <w:sz w:val="24"/>
          <w:szCs w:val="24"/>
        </w:rPr>
        <w:t xml:space="preserve">o </w:t>
      </w:r>
      <w:r w:rsidR="00BA0491" w:rsidRPr="00F215E0">
        <w:rPr>
          <w:sz w:val="24"/>
          <w:szCs w:val="24"/>
        </w:rPr>
        <w:t>ustanowienie służebności</w:t>
      </w:r>
      <w:r w:rsidR="00F215E0">
        <w:rPr>
          <w:sz w:val="24"/>
          <w:szCs w:val="24"/>
        </w:rPr>
        <w:t>,</w:t>
      </w:r>
    </w:p>
    <w:p w14:paraId="2D83E180" w14:textId="70258654" w:rsidR="00BA0491" w:rsidRPr="00F215E0" w:rsidRDefault="00882FF8" w:rsidP="00140BC0">
      <w:pPr>
        <w:pStyle w:val="Teksttreci60"/>
        <w:numPr>
          <w:ilvl w:val="0"/>
          <w:numId w:val="2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418"/>
        <w:jc w:val="both"/>
        <w:rPr>
          <w:b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 </w:t>
      </w:r>
      <w:r w:rsidR="00BA0491" w:rsidRPr="00F215E0">
        <w:rPr>
          <w:rFonts w:eastAsia="Andale Sans UI"/>
          <w:kern w:val="3"/>
          <w:sz w:val="24"/>
          <w:szCs w:val="24"/>
        </w:rPr>
        <w:t xml:space="preserve">o  podział </w:t>
      </w:r>
      <w:r w:rsidR="00BA0491" w:rsidRPr="00F215E0">
        <w:rPr>
          <w:rFonts w:eastAsia="Andale Sans UI"/>
          <w:i/>
          <w:kern w:val="3"/>
          <w:sz w:val="24"/>
          <w:szCs w:val="24"/>
        </w:rPr>
        <w:t xml:space="preserve">quoad usum </w:t>
      </w:r>
      <w:r w:rsidR="00BA0491" w:rsidRPr="00F215E0">
        <w:rPr>
          <w:rFonts w:eastAsia="Andale Sans UI"/>
          <w:kern w:val="3"/>
          <w:sz w:val="24"/>
          <w:szCs w:val="24"/>
        </w:rPr>
        <w:t>lub zarząd rzeczą wspólną lub o rozgraniczenie;</w:t>
      </w:r>
    </w:p>
    <w:p w14:paraId="57DE96A5" w14:textId="2F4BC607" w:rsidR="009F2796" w:rsidRPr="00F215E0" w:rsidRDefault="009F2796" w:rsidP="00140BC0">
      <w:pPr>
        <w:pStyle w:val="Teksttreci60"/>
        <w:numPr>
          <w:ilvl w:val="0"/>
          <w:numId w:val="25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sz w:val="24"/>
          <w:szCs w:val="24"/>
        </w:rPr>
      </w:pPr>
      <w:r w:rsidRPr="00F215E0">
        <w:rPr>
          <w:sz w:val="24"/>
          <w:szCs w:val="24"/>
        </w:rPr>
        <w:lastRenderedPageBreak/>
        <w:t>projekt</w:t>
      </w:r>
      <w:r w:rsidR="00F215E0" w:rsidRPr="00F215E0">
        <w:rPr>
          <w:sz w:val="24"/>
          <w:szCs w:val="24"/>
        </w:rPr>
        <w:t>u postanowienia dowodowego</w:t>
      </w:r>
      <w:r w:rsidRPr="00F215E0">
        <w:rPr>
          <w:sz w:val="24"/>
          <w:szCs w:val="24"/>
        </w:rPr>
        <w:t xml:space="preserve"> </w:t>
      </w:r>
      <w:r w:rsidR="00F215E0" w:rsidRPr="00F215E0">
        <w:rPr>
          <w:sz w:val="24"/>
          <w:szCs w:val="24"/>
        </w:rPr>
        <w:t>dotyczącego</w:t>
      </w:r>
      <w:r w:rsidR="00BA0491" w:rsidRPr="00F215E0">
        <w:rPr>
          <w:sz w:val="24"/>
          <w:szCs w:val="24"/>
        </w:rPr>
        <w:t xml:space="preserve"> opinii biegłego</w:t>
      </w:r>
      <w:r w:rsidR="00140BC0" w:rsidRPr="00F215E0">
        <w:rPr>
          <w:sz w:val="24"/>
          <w:szCs w:val="24"/>
        </w:rPr>
        <w:t xml:space="preserve"> lub biegłych,</w:t>
      </w:r>
      <w:r w:rsidR="00BA0491" w:rsidRPr="00F215E0">
        <w:rPr>
          <w:sz w:val="24"/>
          <w:szCs w:val="24"/>
        </w:rPr>
        <w:t xml:space="preserve"> </w:t>
      </w:r>
      <w:r w:rsidRPr="00F215E0">
        <w:rPr>
          <w:sz w:val="24"/>
          <w:szCs w:val="24"/>
        </w:rPr>
        <w:t>wraz</w:t>
      </w:r>
      <w:r w:rsidR="00140BC0" w:rsidRPr="00F215E0">
        <w:rPr>
          <w:sz w:val="24"/>
          <w:szCs w:val="24"/>
        </w:rPr>
        <w:t xml:space="preserve"> z </w:t>
      </w:r>
      <w:r w:rsidRPr="00F215E0">
        <w:rPr>
          <w:sz w:val="24"/>
          <w:szCs w:val="24"/>
        </w:rPr>
        <w:t>odpowiednimi zarządzeniami</w:t>
      </w:r>
      <w:r w:rsidR="00140BC0" w:rsidRPr="00F215E0">
        <w:rPr>
          <w:sz w:val="24"/>
          <w:szCs w:val="24"/>
        </w:rPr>
        <w:t xml:space="preserve"> (w tym odezwą do biegłego)</w:t>
      </w:r>
      <w:r w:rsidRPr="00F215E0">
        <w:rPr>
          <w:sz w:val="24"/>
          <w:szCs w:val="24"/>
        </w:rPr>
        <w:t>:</w:t>
      </w:r>
    </w:p>
    <w:p w14:paraId="50ECAFA8" w14:textId="6A9F4850" w:rsidR="00BA0491" w:rsidRPr="00F215E0" w:rsidRDefault="00882FF8" w:rsidP="00140BC0">
      <w:pPr>
        <w:pStyle w:val="Teksttreci60"/>
        <w:numPr>
          <w:ilvl w:val="0"/>
          <w:numId w:val="26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418"/>
        <w:jc w:val="both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 </w:t>
      </w:r>
      <w:r w:rsidR="009F2796" w:rsidRPr="00F215E0">
        <w:rPr>
          <w:rFonts w:eastAsia="Andale Sans UI"/>
          <w:kern w:val="3"/>
          <w:sz w:val="24"/>
          <w:szCs w:val="24"/>
        </w:rPr>
        <w:t xml:space="preserve">w sprawie o zasiedzenie </w:t>
      </w:r>
      <w:r w:rsidR="00140BC0" w:rsidRPr="00F215E0">
        <w:rPr>
          <w:rFonts w:eastAsia="Andale Sans UI"/>
          <w:kern w:val="3"/>
          <w:sz w:val="24"/>
          <w:szCs w:val="24"/>
        </w:rPr>
        <w:t xml:space="preserve"> (w szczególności </w:t>
      </w:r>
      <w:r w:rsidR="009F2796" w:rsidRPr="00F215E0">
        <w:rPr>
          <w:rFonts w:eastAsia="Andale Sans UI"/>
          <w:kern w:val="3"/>
          <w:sz w:val="24"/>
          <w:szCs w:val="24"/>
        </w:rPr>
        <w:t>w celu sporządzenia mapy z projektem podziału nieruchomości</w:t>
      </w:r>
      <w:r w:rsidR="00140BC0" w:rsidRPr="00F215E0">
        <w:rPr>
          <w:rFonts w:eastAsia="Andale Sans UI"/>
          <w:kern w:val="3"/>
          <w:sz w:val="24"/>
          <w:szCs w:val="24"/>
        </w:rPr>
        <w:t>)</w:t>
      </w:r>
      <w:r w:rsidR="00F215E0">
        <w:rPr>
          <w:rFonts w:eastAsia="Andale Sans UI"/>
          <w:kern w:val="3"/>
          <w:sz w:val="24"/>
          <w:szCs w:val="24"/>
        </w:rPr>
        <w:t>,</w:t>
      </w:r>
      <w:r w:rsidR="009F2796" w:rsidRPr="00F215E0">
        <w:rPr>
          <w:rFonts w:eastAsia="Andale Sans UI"/>
          <w:kern w:val="3"/>
          <w:sz w:val="24"/>
          <w:szCs w:val="24"/>
        </w:rPr>
        <w:t xml:space="preserve"> </w:t>
      </w:r>
    </w:p>
    <w:p w14:paraId="114612AF" w14:textId="7BA61261" w:rsidR="009F2796" w:rsidRPr="00F215E0" w:rsidRDefault="00882FF8" w:rsidP="00140BC0">
      <w:pPr>
        <w:pStyle w:val="Teksttreci60"/>
        <w:numPr>
          <w:ilvl w:val="0"/>
          <w:numId w:val="26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418"/>
        <w:jc w:val="both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 </w:t>
      </w:r>
      <w:r w:rsidR="00140BC0" w:rsidRPr="00F215E0">
        <w:rPr>
          <w:rFonts w:eastAsia="Andale Sans UI"/>
          <w:kern w:val="3"/>
          <w:sz w:val="24"/>
          <w:szCs w:val="24"/>
        </w:rPr>
        <w:t xml:space="preserve">w sprawie </w:t>
      </w:r>
      <w:r w:rsidR="009F2796" w:rsidRPr="00F215E0">
        <w:rPr>
          <w:rFonts w:eastAsia="Andale Sans UI"/>
          <w:kern w:val="3"/>
          <w:sz w:val="24"/>
          <w:szCs w:val="24"/>
        </w:rPr>
        <w:t>o ustanowienie służebności grunto</w:t>
      </w:r>
      <w:r w:rsidR="00140BC0" w:rsidRPr="00F215E0">
        <w:rPr>
          <w:rFonts w:eastAsia="Andale Sans UI"/>
          <w:kern w:val="3"/>
          <w:sz w:val="24"/>
          <w:szCs w:val="24"/>
        </w:rPr>
        <w:t>wej, służebności przesyłu lub o </w:t>
      </w:r>
      <w:r w:rsidR="009F2796" w:rsidRPr="00F215E0">
        <w:rPr>
          <w:rFonts w:eastAsia="Andale Sans UI"/>
          <w:kern w:val="3"/>
          <w:sz w:val="24"/>
          <w:szCs w:val="24"/>
        </w:rPr>
        <w:t>rozgraniczenie</w:t>
      </w:r>
      <w:r w:rsidR="00140BC0" w:rsidRPr="00F215E0">
        <w:rPr>
          <w:rFonts w:eastAsia="Andale Sans UI"/>
          <w:kern w:val="3"/>
          <w:sz w:val="24"/>
          <w:szCs w:val="24"/>
        </w:rPr>
        <w:t>.</w:t>
      </w:r>
    </w:p>
    <w:p w14:paraId="5E4144E6" w14:textId="77777777" w:rsidR="009F2796" w:rsidRPr="00F215E0" w:rsidRDefault="009F2796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EB08EF" w14:textId="38697B02" w:rsidR="00E40B05" w:rsidRDefault="00E40B05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Na </w:t>
      </w:r>
      <w:r w:rsidR="001B30E1" w:rsidRPr="00F215E0">
        <w:rPr>
          <w:rFonts w:ascii="Times New Roman" w:hAnsi="Times New Roman"/>
          <w:sz w:val="24"/>
          <w:szCs w:val="24"/>
        </w:rPr>
        <w:t>25.</w:t>
      </w:r>
      <w:r w:rsidRPr="00F215E0">
        <w:rPr>
          <w:rFonts w:ascii="Times New Roman" w:hAnsi="Times New Roman"/>
          <w:sz w:val="24"/>
          <w:szCs w:val="24"/>
        </w:rPr>
        <w:t xml:space="preserve"> zjeździe</w:t>
      </w:r>
      <w:r w:rsidR="00F73311" w:rsidRPr="00F215E0">
        <w:rPr>
          <w:rFonts w:ascii="Times New Roman" w:hAnsi="Times New Roman"/>
          <w:sz w:val="24"/>
          <w:szCs w:val="24"/>
        </w:rPr>
        <w:t xml:space="preserve"> </w:t>
      </w:r>
      <w:r w:rsidR="001B30E1" w:rsidRPr="00F215E0">
        <w:rPr>
          <w:rFonts w:ascii="Times New Roman" w:hAnsi="Times New Roman"/>
          <w:sz w:val="24"/>
          <w:szCs w:val="24"/>
        </w:rPr>
        <w:t>–</w:t>
      </w:r>
      <w:r w:rsidR="00F73311" w:rsidRPr="00F215E0">
        <w:rPr>
          <w:rFonts w:ascii="Times New Roman" w:hAnsi="Times New Roman"/>
          <w:sz w:val="24"/>
          <w:szCs w:val="24"/>
        </w:rPr>
        <w:t xml:space="preserve"> </w:t>
      </w:r>
      <w:r w:rsidRPr="00F215E0">
        <w:rPr>
          <w:rFonts w:ascii="Times New Roman" w:hAnsi="Times New Roman"/>
          <w:sz w:val="24"/>
          <w:szCs w:val="24"/>
        </w:rPr>
        <w:t>1</w:t>
      </w:r>
      <w:r w:rsidR="001B30E1" w:rsidRPr="00F215E0">
        <w:rPr>
          <w:rFonts w:ascii="Times New Roman" w:hAnsi="Times New Roman"/>
          <w:sz w:val="24"/>
          <w:szCs w:val="24"/>
        </w:rPr>
        <w:t>6 maja</w:t>
      </w:r>
      <w:r w:rsidRPr="00F215E0">
        <w:rPr>
          <w:rFonts w:ascii="Times New Roman" w:hAnsi="Times New Roman"/>
          <w:sz w:val="24"/>
          <w:szCs w:val="24"/>
        </w:rPr>
        <w:t xml:space="preserve"> 202</w:t>
      </w:r>
      <w:r w:rsidR="001B30E1" w:rsidRPr="00F215E0">
        <w:rPr>
          <w:rFonts w:ascii="Times New Roman" w:hAnsi="Times New Roman"/>
          <w:sz w:val="24"/>
          <w:szCs w:val="24"/>
        </w:rPr>
        <w:t>2</w:t>
      </w:r>
      <w:r w:rsidRPr="00F215E0">
        <w:rPr>
          <w:rFonts w:ascii="Times New Roman" w:hAnsi="Times New Roman"/>
          <w:sz w:val="24"/>
          <w:szCs w:val="24"/>
        </w:rPr>
        <w:t xml:space="preserve"> r., odbędzie się sprawdzian, którego przedmiotem będzie przygotowanie przez aplikantów </w:t>
      </w:r>
      <w:r w:rsidRPr="00F215E0">
        <w:rPr>
          <w:rFonts w:ascii="Times New Roman" w:hAnsi="Times New Roman"/>
          <w:b/>
          <w:sz w:val="24"/>
          <w:szCs w:val="24"/>
        </w:rPr>
        <w:t>projektu orzeczenia sądu I i</w:t>
      </w:r>
      <w:r w:rsidR="00F215E0">
        <w:rPr>
          <w:rFonts w:ascii="Times New Roman" w:hAnsi="Times New Roman"/>
          <w:b/>
          <w:sz w:val="24"/>
          <w:szCs w:val="24"/>
        </w:rPr>
        <w:t>nstancji wraz z </w:t>
      </w:r>
      <w:r w:rsidR="001B30E1" w:rsidRPr="00F215E0">
        <w:rPr>
          <w:rFonts w:ascii="Times New Roman" w:hAnsi="Times New Roman"/>
          <w:b/>
          <w:sz w:val="24"/>
          <w:szCs w:val="24"/>
        </w:rPr>
        <w:t>uzasadnieniem w </w:t>
      </w:r>
      <w:r w:rsidRPr="00F215E0">
        <w:rPr>
          <w:rFonts w:ascii="Times New Roman" w:hAnsi="Times New Roman"/>
          <w:b/>
          <w:sz w:val="24"/>
          <w:szCs w:val="24"/>
        </w:rPr>
        <w:t>sprawie z zakresu prawa rzeczowego</w:t>
      </w:r>
      <w:r w:rsidRPr="00F215E0">
        <w:rPr>
          <w:rFonts w:ascii="Times New Roman" w:hAnsi="Times New Roman"/>
          <w:sz w:val="24"/>
          <w:szCs w:val="24"/>
        </w:rPr>
        <w:t xml:space="preserve">. </w:t>
      </w:r>
      <w:r w:rsidR="001B30E1" w:rsidRPr="00F215E0">
        <w:rPr>
          <w:rFonts w:ascii="Times New Roman" w:hAnsi="Times New Roman"/>
          <w:sz w:val="24"/>
          <w:szCs w:val="24"/>
        </w:rPr>
        <w:t>Z tego względu ważne</w:t>
      </w:r>
      <w:r w:rsidRPr="00F215E0">
        <w:rPr>
          <w:rFonts w:ascii="Times New Roman" w:hAnsi="Times New Roman"/>
          <w:sz w:val="24"/>
          <w:szCs w:val="24"/>
        </w:rPr>
        <w:t xml:space="preserve"> jest, aby aplikanci podczas praktyk opanowali w możliwie najwyższym stopniu umiejętność samodzielnego opracowywania projektów orzeczeń z zakresu prawa rzeczowego </w:t>
      </w:r>
      <w:r w:rsidR="00F215E0">
        <w:rPr>
          <w:rFonts w:ascii="Times New Roman" w:hAnsi="Times New Roman"/>
          <w:sz w:val="24"/>
          <w:szCs w:val="24"/>
        </w:rPr>
        <w:t>wraz z </w:t>
      </w:r>
      <w:r w:rsidR="00882FF8">
        <w:rPr>
          <w:rFonts w:ascii="Times New Roman" w:hAnsi="Times New Roman"/>
          <w:sz w:val="24"/>
          <w:szCs w:val="24"/>
        </w:rPr>
        <w:t>uzasadnieniem.</w:t>
      </w:r>
    </w:p>
    <w:p w14:paraId="41A0D69D" w14:textId="77777777" w:rsidR="00882FF8" w:rsidRDefault="00882FF8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562B89" w14:textId="77777777" w:rsidR="00882FF8" w:rsidRPr="00F215E0" w:rsidRDefault="00882FF8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80B6B7" w14:textId="77777777" w:rsidR="00882FF8" w:rsidRPr="00882FF8" w:rsidRDefault="00882FF8" w:rsidP="00882FF8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FF8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7EEE67FD" w14:textId="77777777" w:rsidR="00882FF8" w:rsidRPr="00882FF8" w:rsidRDefault="00882FF8" w:rsidP="00882FF8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FF8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1B184920" w14:textId="77777777" w:rsidR="00882FF8" w:rsidRPr="00882FF8" w:rsidRDefault="00882FF8" w:rsidP="00882FF8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FF8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bookmarkEnd w:id="0"/>
    <w:p w14:paraId="036E0DA9" w14:textId="77777777" w:rsidR="00F73311" w:rsidRPr="00F215E0" w:rsidRDefault="00F73311" w:rsidP="00140B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73311" w:rsidRPr="00F215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9EFF4" w14:textId="77777777" w:rsidR="007C38F5" w:rsidRDefault="007C38F5" w:rsidP="00AA67CD">
      <w:pPr>
        <w:spacing w:after="0" w:line="240" w:lineRule="auto"/>
      </w:pPr>
      <w:r>
        <w:separator/>
      </w:r>
    </w:p>
  </w:endnote>
  <w:endnote w:type="continuationSeparator" w:id="0">
    <w:p w14:paraId="0D8DB0EB" w14:textId="77777777" w:rsidR="007C38F5" w:rsidRDefault="007C38F5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78435"/>
      <w:docPartObj>
        <w:docPartGallery w:val="Page Numbers (Bottom of Page)"/>
        <w:docPartUnique/>
      </w:docPartObj>
    </w:sdtPr>
    <w:sdtEndPr/>
    <w:sdtContent>
      <w:p w14:paraId="58DE1D79" w14:textId="2CD8F7A0" w:rsidR="00F215E0" w:rsidRDefault="00F215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A8">
          <w:rPr>
            <w:noProof/>
          </w:rPr>
          <w:t>4</w:t>
        </w:r>
        <w:r>
          <w:fldChar w:fldCharType="end"/>
        </w:r>
      </w:p>
    </w:sdtContent>
  </w:sdt>
  <w:p w14:paraId="3FE0B18E" w14:textId="77777777" w:rsidR="00BB379D" w:rsidRDefault="00BB3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BB9DD" w14:textId="77777777" w:rsidR="007C38F5" w:rsidRDefault="007C38F5" w:rsidP="00AA67CD">
      <w:pPr>
        <w:spacing w:after="0" w:line="240" w:lineRule="auto"/>
      </w:pPr>
      <w:r>
        <w:separator/>
      </w:r>
    </w:p>
  </w:footnote>
  <w:footnote w:type="continuationSeparator" w:id="0">
    <w:p w14:paraId="76966A65" w14:textId="77777777" w:rsidR="007C38F5" w:rsidRDefault="007C38F5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2CA8E3A"/>
    <w:lvl w:ilvl="0" w:tplc="B7221C7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11AD1"/>
    <w:multiLevelType w:val="hybridMultilevel"/>
    <w:tmpl w:val="F5CE7B5C"/>
    <w:lvl w:ilvl="0" w:tplc="1ADA74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93601"/>
    <w:multiLevelType w:val="hybridMultilevel"/>
    <w:tmpl w:val="5A36526C"/>
    <w:lvl w:ilvl="0" w:tplc="6AF6D95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260F3B21"/>
    <w:multiLevelType w:val="hybridMultilevel"/>
    <w:tmpl w:val="17C0A2F2"/>
    <w:lvl w:ilvl="0" w:tplc="D192581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1E5533F"/>
    <w:multiLevelType w:val="hybridMultilevel"/>
    <w:tmpl w:val="67605CF8"/>
    <w:lvl w:ilvl="0" w:tplc="EEDC18A8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37B27783"/>
    <w:multiLevelType w:val="hybridMultilevel"/>
    <w:tmpl w:val="CB60DFA2"/>
    <w:lvl w:ilvl="0" w:tplc="F48649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90375"/>
    <w:multiLevelType w:val="hybridMultilevel"/>
    <w:tmpl w:val="53BCAB62"/>
    <w:lvl w:ilvl="0" w:tplc="444C98B4">
      <w:start w:val="1"/>
      <w:numFmt w:val="lowerLetter"/>
      <w:lvlText w:val="%1)"/>
      <w:lvlJc w:val="left"/>
      <w:pPr>
        <w:ind w:left="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96231"/>
    <w:multiLevelType w:val="hybridMultilevel"/>
    <w:tmpl w:val="B3F6567A"/>
    <w:lvl w:ilvl="0" w:tplc="FB08F4C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2"/>
  </w:num>
  <w:num w:numId="5">
    <w:abstractNumId w:val="24"/>
  </w:num>
  <w:num w:numId="6">
    <w:abstractNumId w:val="10"/>
  </w:num>
  <w:num w:numId="7">
    <w:abstractNumId w:val="23"/>
  </w:num>
  <w:num w:numId="8">
    <w:abstractNumId w:val="14"/>
  </w:num>
  <w:num w:numId="9">
    <w:abstractNumId w:val="9"/>
  </w:num>
  <w:num w:numId="10">
    <w:abstractNumId w:val="25"/>
  </w:num>
  <w:num w:numId="11">
    <w:abstractNumId w:val="6"/>
  </w:num>
  <w:num w:numId="12">
    <w:abstractNumId w:val="13"/>
  </w:num>
  <w:num w:numId="13">
    <w:abstractNumId w:val="16"/>
  </w:num>
  <w:num w:numId="14">
    <w:abstractNumId w:val="20"/>
  </w:num>
  <w:num w:numId="15">
    <w:abstractNumId w:val="2"/>
  </w:num>
  <w:num w:numId="16">
    <w:abstractNumId w:val="17"/>
  </w:num>
  <w:num w:numId="17">
    <w:abstractNumId w:val="12"/>
  </w:num>
  <w:num w:numId="18">
    <w:abstractNumId w:val="3"/>
  </w:num>
  <w:num w:numId="19">
    <w:abstractNumId w:val="18"/>
  </w:num>
  <w:num w:numId="20">
    <w:abstractNumId w:val="4"/>
  </w:num>
  <w:num w:numId="21">
    <w:abstractNumId w:val="21"/>
  </w:num>
  <w:num w:numId="22">
    <w:abstractNumId w:val="0"/>
  </w:num>
  <w:num w:numId="23">
    <w:abstractNumId w:val="11"/>
  </w:num>
  <w:num w:numId="24">
    <w:abstractNumId w:val="19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D6F"/>
    <w:rsid w:val="0008304C"/>
    <w:rsid w:val="00085E89"/>
    <w:rsid w:val="000D0D9A"/>
    <w:rsid w:val="000D378A"/>
    <w:rsid w:val="00140BC0"/>
    <w:rsid w:val="00157411"/>
    <w:rsid w:val="001757BD"/>
    <w:rsid w:val="00195D0B"/>
    <w:rsid w:val="001B30E1"/>
    <w:rsid w:val="001C5C56"/>
    <w:rsid w:val="001D1644"/>
    <w:rsid w:val="001D5E58"/>
    <w:rsid w:val="001E5109"/>
    <w:rsid w:val="002054A5"/>
    <w:rsid w:val="00225EE4"/>
    <w:rsid w:val="002A77D9"/>
    <w:rsid w:val="00417D3D"/>
    <w:rsid w:val="00486FF7"/>
    <w:rsid w:val="0049107A"/>
    <w:rsid w:val="004C2C39"/>
    <w:rsid w:val="00534FC5"/>
    <w:rsid w:val="005800A4"/>
    <w:rsid w:val="005C6488"/>
    <w:rsid w:val="0067695C"/>
    <w:rsid w:val="00682245"/>
    <w:rsid w:val="00694CE4"/>
    <w:rsid w:val="006B1A06"/>
    <w:rsid w:val="006D7F5D"/>
    <w:rsid w:val="006E6B11"/>
    <w:rsid w:val="007007FA"/>
    <w:rsid w:val="00702086"/>
    <w:rsid w:val="007B6F11"/>
    <w:rsid w:val="007C38F5"/>
    <w:rsid w:val="007C3A8C"/>
    <w:rsid w:val="007F28CC"/>
    <w:rsid w:val="00882FF8"/>
    <w:rsid w:val="0088627E"/>
    <w:rsid w:val="008C3394"/>
    <w:rsid w:val="008C37E7"/>
    <w:rsid w:val="008D70DC"/>
    <w:rsid w:val="008E7267"/>
    <w:rsid w:val="008F18D4"/>
    <w:rsid w:val="009135B9"/>
    <w:rsid w:val="00917B8F"/>
    <w:rsid w:val="009E0CFB"/>
    <w:rsid w:val="009F2796"/>
    <w:rsid w:val="00A015A6"/>
    <w:rsid w:val="00A24D29"/>
    <w:rsid w:val="00A322B3"/>
    <w:rsid w:val="00A4298F"/>
    <w:rsid w:val="00A76E09"/>
    <w:rsid w:val="00A83C0D"/>
    <w:rsid w:val="00AA67CD"/>
    <w:rsid w:val="00AC7DA6"/>
    <w:rsid w:val="00B03962"/>
    <w:rsid w:val="00B27341"/>
    <w:rsid w:val="00B768B7"/>
    <w:rsid w:val="00B81B62"/>
    <w:rsid w:val="00B949A8"/>
    <w:rsid w:val="00BA0491"/>
    <w:rsid w:val="00BB379D"/>
    <w:rsid w:val="00BD1CAA"/>
    <w:rsid w:val="00C26674"/>
    <w:rsid w:val="00C66B40"/>
    <w:rsid w:val="00CC484D"/>
    <w:rsid w:val="00CF0AA0"/>
    <w:rsid w:val="00D607F6"/>
    <w:rsid w:val="00D6448C"/>
    <w:rsid w:val="00D84572"/>
    <w:rsid w:val="00DD3B36"/>
    <w:rsid w:val="00E40B05"/>
    <w:rsid w:val="00E7483E"/>
    <w:rsid w:val="00EC3EBE"/>
    <w:rsid w:val="00F215E0"/>
    <w:rsid w:val="00F36BCE"/>
    <w:rsid w:val="00F639AD"/>
    <w:rsid w:val="00F73311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B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79D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9F27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F279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B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79D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9F27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F279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E4BC-67A1-4E91-981A-4606D992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2022-03-24T08:29:00Z</dcterms:created>
  <dcterms:modified xsi:type="dcterms:W3CDTF">2022-03-24T08:29:00Z</dcterms:modified>
</cp:coreProperties>
</file>