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D93" w:rsidRPr="00AF3397" w:rsidRDefault="00DA37E3" w:rsidP="00AF3397">
      <w:pPr>
        <w:jc w:val="right"/>
      </w:pPr>
      <w:bookmarkStart w:id="0" w:name="_GoBack"/>
      <w:bookmarkEnd w:id="0"/>
      <w:r w:rsidRPr="00AF3397">
        <w:t xml:space="preserve">Kraków, </w:t>
      </w:r>
      <w:r w:rsidR="00BE0746">
        <w:t>19 stycznia</w:t>
      </w:r>
      <w:r w:rsidRPr="00AF3397">
        <w:t xml:space="preserve"> </w:t>
      </w:r>
      <w:r w:rsidR="00C1095D" w:rsidRPr="00AF3397">
        <w:t>202</w:t>
      </w:r>
      <w:r w:rsidR="00253B4D" w:rsidRPr="00AF3397">
        <w:t>2</w:t>
      </w:r>
      <w:r w:rsidR="006F4D93" w:rsidRPr="00AF3397">
        <w:t xml:space="preserve"> r.</w:t>
      </w:r>
    </w:p>
    <w:p w:rsidR="006F4D93" w:rsidRPr="00AF3397" w:rsidRDefault="006F4D93" w:rsidP="00AF3397">
      <w:pPr>
        <w:jc w:val="both"/>
        <w:rPr>
          <w:b/>
        </w:rPr>
      </w:pPr>
    </w:p>
    <w:p w:rsidR="00C1095D" w:rsidRPr="00AF3397" w:rsidRDefault="00C1095D" w:rsidP="00AF3397">
      <w:r w:rsidRPr="00AF3397">
        <w:t>OAS-II.420.</w:t>
      </w:r>
      <w:r w:rsidR="00253B4D" w:rsidRPr="00AF3397">
        <w:t>53</w:t>
      </w:r>
      <w:r w:rsidRPr="00AF3397">
        <w:t>.202</w:t>
      </w:r>
      <w:r w:rsidR="00253B4D" w:rsidRPr="00AF3397">
        <w:t>1</w:t>
      </w:r>
    </w:p>
    <w:p w:rsidR="006F4D93" w:rsidRPr="00AF3397" w:rsidRDefault="006F4D93" w:rsidP="00AF3397">
      <w:pPr>
        <w:jc w:val="both"/>
      </w:pPr>
    </w:p>
    <w:p w:rsidR="006F4D93" w:rsidRPr="00AF3397" w:rsidRDefault="00DA37E3" w:rsidP="00AF3397">
      <w:pPr>
        <w:jc w:val="both"/>
        <w:rPr>
          <w:i/>
        </w:rPr>
      </w:pPr>
      <w:r w:rsidRPr="00AF3397">
        <w:rPr>
          <w:i/>
        </w:rPr>
        <w:t xml:space="preserve">Dot. praktyk aplikantów </w:t>
      </w:r>
      <w:r w:rsidR="00253B4D" w:rsidRPr="00AF3397">
        <w:rPr>
          <w:i/>
        </w:rPr>
        <w:t>12</w:t>
      </w:r>
      <w:r w:rsidR="006F4D93" w:rsidRPr="00AF3397">
        <w:rPr>
          <w:i/>
        </w:rPr>
        <w:t xml:space="preserve"> rocznika aplikacji sędziowskiej po </w:t>
      </w:r>
      <w:r w:rsidR="00253B4D" w:rsidRPr="00AF3397">
        <w:rPr>
          <w:i/>
        </w:rPr>
        <w:t>XI</w:t>
      </w:r>
      <w:r w:rsidR="006F4D93" w:rsidRPr="00AF3397">
        <w:rPr>
          <w:i/>
        </w:rPr>
        <w:t xml:space="preserve"> zjeździe</w:t>
      </w:r>
    </w:p>
    <w:p w:rsidR="006F4D93" w:rsidRPr="00AF3397" w:rsidRDefault="006F4D93" w:rsidP="00AF3397">
      <w:pPr>
        <w:jc w:val="both"/>
      </w:pPr>
    </w:p>
    <w:p w:rsidR="006F4D93" w:rsidRPr="00AF3397" w:rsidRDefault="006F4D93" w:rsidP="00AF3397">
      <w:pPr>
        <w:ind w:firstLine="4820"/>
        <w:jc w:val="both"/>
        <w:rPr>
          <w:b/>
        </w:rPr>
      </w:pPr>
      <w:r w:rsidRPr="00AF3397">
        <w:rPr>
          <w:b/>
        </w:rPr>
        <w:t>Do</w:t>
      </w:r>
    </w:p>
    <w:p w:rsidR="006F4D93" w:rsidRPr="00AF3397" w:rsidRDefault="00BE0746" w:rsidP="00AF3397">
      <w:pPr>
        <w:ind w:firstLine="4820"/>
        <w:jc w:val="both"/>
        <w:rPr>
          <w:b/>
        </w:rPr>
      </w:pPr>
      <w:r>
        <w:rPr>
          <w:b/>
        </w:rPr>
        <w:t>P</w:t>
      </w:r>
      <w:r w:rsidR="006F4D93" w:rsidRPr="00AF3397">
        <w:rPr>
          <w:b/>
        </w:rPr>
        <w:t>atronów praktyk</w:t>
      </w:r>
    </w:p>
    <w:p w:rsidR="006F4D93" w:rsidRPr="00AF3397" w:rsidRDefault="00BE0746" w:rsidP="00AF3397">
      <w:pPr>
        <w:ind w:firstLine="4820"/>
        <w:jc w:val="both"/>
        <w:rPr>
          <w:b/>
        </w:rPr>
      </w:pPr>
      <w:r>
        <w:rPr>
          <w:b/>
        </w:rPr>
        <w:t>oraz P</w:t>
      </w:r>
      <w:r w:rsidR="006F4D93" w:rsidRPr="00AF3397">
        <w:rPr>
          <w:b/>
        </w:rPr>
        <w:t>atronów koordynatorów</w:t>
      </w:r>
    </w:p>
    <w:p w:rsidR="006F4D93" w:rsidRPr="00AF3397" w:rsidRDefault="006F4D93" w:rsidP="00AF3397">
      <w:pPr>
        <w:ind w:firstLine="4820"/>
        <w:jc w:val="both"/>
        <w:rPr>
          <w:b/>
        </w:rPr>
      </w:pPr>
      <w:r w:rsidRPr="00AF3397">
        <w:rPr>
          <w:b/>
        </w:rPr>
        <w:t>aplikantów aplikacji sędziowskiej</w:t>
      </w:r>
    </w:p>
    <w:p w:rsidR="006F4D93" w:rsidRPr="00AF3397" w:rsidRDefault="006F4D93" w:rsidP="00AF3397">
      <w:pPr>
        <w:jc w:val="both"/>
        <w:rPr>
          <w:b/>
        </w:rPr>
      </w:pPr>
    </w:p>
    <w:p w:rsidR="006F4D93" w:rsidRPr="00AF3397" w:rsidRDefault="006F4D93" w:rsidP="00AF3397">
      <w:pPr>
        <w:jc w:val="both"/>
      </w:pPr>
    </w:p>
    <w:p w:rsidR="006F4D93" w:rsidRPr="00AF3397" w:rsidRDefault="00B50706" w:rsidP="00AF3397">
      <w:pPr>
        <w:ind w:firstLine="708"/>
        <w:jc w:val="both"/>
      </w:pPr>
      <w:r w:rsidRPr="00AF3397">
        <w:t>W oparciu o § 1 ust. 2 zarządzenia Dyrektora Krajowej Szkoły Sądownictwa i Prokuratury Nr 539/2021 z dnia 27 października 2021 r. w sprawie szczegółowych zasad odbywania praktyk przez aplikantów aplikacji sędziowskiej i aplikacji prokuratorskiej, u</w:t>
      </w:r>
      <w:r w:rsidR="00EA55EA" w:rsidRPr="00AF3397">
        <w:t>przejmie przedstawiam szczegółowy zakres tematyczny</w:t>
      </w:r>
      <w:r w:rsidR="006F4D93" w:rsidRPr="00AF3397">
        <w:t>, który winien być p</w:t>
      </w:r>
      <w:r w:rsidR="00C1095D" w:rsidRPr="00AF3397">
        <w:t>rzedmiotem praktyk  aplikantów aplikacji</w:t>
      </w:r>
      <w:r w:rsidR="006F4D93" w:rsidRPr="00AF3397">
        <w:t xml:space="preserve"> sęd</w:t>
      </w:r>
      <w:r w:rsidR="00EA55EA" w:rsidRPr="00AF3397">
        <w:t xml:space="preserve">ziowskiej odbywanych </w:t>
      </w:r>
      <w:r w:rsidR="00EA55EA" w:rsidRPr="00AF3397">
        <w:rPr>
          <w:b/>
          <w:u w:val="single"/>
        </w:rPr>
        <w:t xml:space="preserve">od </w:t>
      </w:r>
      <w:r w:rsidR="00253B4D" w:rsidRPr="00AF3397">
        <w:rPr>
          <w:b/>
          <w:u w:val="single"/>
        </w:rPr>
        <w:t>14</w:t>
      </w:r>
      <w:r w:rsidR="00EA55EA" w:rsidRPr="00AF3397">
        <w:rPr>
          <w:b/>
          <w:u w:val="single"/>
        </w:rPr>
        <w:t xml:space="preserve"> lutego do </w:t>
      </w:r>
      <w:r w:rsidR="00253B4D" w:rsidRPr="00AF3397">
        <w:rPr>
          <w:b/>
          <w:u w:val="single"/>
        </w:rPr>
        <w:t>4</w:t>
      </w:r>
      <w:r w:rsidR="00EA55EA" w:rsidRPr="00AF3397">
        <w:rPr>
          <w:b/>
          <w:u w:val="single"/>
        </w:rPr>
        <w:t xml:space="preserve"> </w:t>
      </w:r>
      <w:r w:rsidR="00094A38" w:rsidRPr="00AF3397">
        <w:rPr>
          <w:b/>
          <w:u w:val="single"/>
        </w:rPr>
        <w:t xml:space="preserve">marca </w:t>
      </w:r>
      <w:r w:rsidR="00EA55EA" w:rsidRPr="00AF3397">
        <w:rPr>
          <w:b/>
          <w:u w:val="single"/>
        </w:rPr>
        <w:t>202</w:t>
      </w:r>
      <w:r w:rsidR="00253B4D" w:rsidRPr="00AF3397">
        <w:rPr>
          <w:b/>
          <w:u w:val="single"/>
        </w:rPr>
        <w:t>2</w:t>
      </w:r>
      <w:r w:rsidR="006F4D93" w:rsidRPr="00AF3397">
        <w:rPr>
          <w:b/>
          <w:u w:val="single"/>
        </w:rPr>
        <w:t xml:space="preserve"> </w:t>
      </w:r>
      <w:r w:rsidR="00BE0746">
        <w:rPr>
          <w:b/>
          <w:u w:val="single"/>
        </w:rPr>
        <w:t>r.</w:t>
      </w:r>
      <w:r w:rsidR="00253B4D" w:rsidRPr="00AF3397">
        <w:rPr>
          <w:b/>
          <w:u w:val="single"/>
        </w:rPr>
        <w:t>:</w:t>
      </w:r>
      <w:r w:rsidR="006F4D93" w:rsidRPr="00AF3397">
        <w:t xml:space="preserve"> </w:t>
      </w:r>
      <w:r w:rsidR="00253B4D" w:rsidRPr="00AF3397">
        <w:t xml:space="preserve">2 </w:t>
      </w:r>
      <w:r w:rsidR="0040012F" w:rsidRPr="00AF3397">
        <w:t> </w:t>
      </w:r>
      <w:r w:rsidR="00253B4D" w:rsidRPr="00AF3397">
        <w:t xml:space="preserve">tygodnie </w:t>
      </w:r>
      <w:r w:rsidR="006F4D93" w:rsidRPr="00AF3397">
        <w:t>w sąd</w:t>
      </w:r>
      <w:r w:rsidR="00253B4D" w:rsidRPr="00AF3397">
        <w:t>zie</w:t>
      </w:r>
      <w:r w:rsidR="006F4D93" w:rsidRPr="00AF3397">
        <w:t xml:space="preserve"> rejonowy</w:t>
      </w:r>
      <w:r w:rsidR="00253B4D" w:rsidRPr="00AF3397">
        <w:t xml:space="preserve">m </w:t>
      </w:r>
      <w:r w:rsidR="006F4D93" w:rsidRPr="00AF3397">
        <w:t>w wy</w:t>
      </w:r>
      <w:r w:rsidR="00094A38" w:rsidRPr="00AF3397">
        <w:t>dzia</w:t>
      </w:r>
      <w:r w:rsidR="00253B4D" w:rsidRPr="00AF3397">
        <w:t>le (sekcji)</w:t>
      </w:r>
      <w:r w:rsidR="00094A38" w:rsidRPr="00AF3397">
        <w:t>, w który</w:t>
      </w:r>
      <w:r w:rsidR="00253B4D" w:rsidRPr="00AF3397">
        <w:t>m</w:t>
      </w:r>
      <w:r w:rsidR="00094A38" w:rsidRPr="00AF3397">
        <w:t xml:space="preserve"> wykonywane są orzeczen</w:t>
      </w:r>
      <w:r w:rsidR="00253B4D" w:rsidRPr="00AF3397">
        <w:t>ia karne</w:t>
      </w:r>
      <w:r w:rsidR="00094A38" w:rsidRPr="00AF3397">
        <w:t xml:space="preserve"> oraz</w:t>
      </w:r>
      <w:r w:rsidR="00253B4D" w:rsidRPr="00AF3397">
        <w:t xml:space="preserve"> 1 tydzień</w:t>
      </w:r>
      <w:r w:rsidR="00094A38" w:rsidRPr="00AF3397">
        <w:t xml:space="preserve"> w sąd</w:t>
      </w:r>
      <w:r w:rsidR="00253B4D" w:rsidRPr="00AF3397">
        <w:t>zie</w:t>
      </w:r>
      <w:r w:rsidR="00094A38" w:rsidRPr="00AF3397">
        <w:t xml:space="preserve"> okręgowy</w:t>
      </w:r>
      <w:r w:rsidR="00253B4D" w:rsidRPr="00AF3397">
        <w:t>m</w:t>
      </w:r>
      <w:r w:rsidR="00094A38" w:rsidRPr="00AF3397">
        <w:t xml:space="preserve"> </w:t>
      </w:r>
      <w:r w:rsidR="00C1095D" w:rsidRPr="00AF3397">
        <w:t xml:space="preserve">(w </w:t>
      </w:r>
      <w:r w:rsidR="00094A38" w:rsidRPr="00AF3397">
        <w:t>wydzia</w:t>
      </w:r>
      <w:r w:rsidR="00253B4D" w:rsidRPr="00AF3397">
        <w:t>le</w:t>
      </w:r>
      <w:r w:rsidR="00094A38" w:rsidRPr="00AF3397">
        <w:t xml:space="preserve"> penitencjarny</w:t>
      </w:r>
      <w:r w:rsidR="00253B4D" w:rsidRPr="00AF3397">
        <w:t>m</w:t>
      </w:r>
      <w:r w:rsidR="00C1095D" w:rsidRPr="00AF3397">
        <w:t>)</w:t>
      </w:r>
      <w:r w:rsidR="00094A38" w:rsidRPr="00AF3397">
        <w:t>.</w:t>
      </w:r>
    </w:p>
    <w:p w:rsidR="00C1095D" w:rsidRPr="00AF3397" w:rsidRDefault="00C1095D" w:rsidP="00AF3397">
      <w:pPr>
        <w:ind w:firstLine="708"/>
        <w:jc w:val="both"/>
      </w:pPr>
    </w:p>
    <w:p w:rsidR="006F4D93" w:rsidRPr="00AF3397" w:rsidRDefault="006F4D93" w:rsidP="00AF3397">
      <w:pPr>
        <w:ind w:firstLine="708"/>
        <w:jc w:val="both"/>
      </w:pPr>
      <w:r w:rsidRPr="00AF3397">
        <w:t>Zasadniczym celem praktyk jest zaznajomienie aplikantów z czynnościami i metodyką pracy patrona oraz doskonalenie umiejętności wykorzystania wiedzy teoretycznej</w:t>
      </w:r>
      <w:r w:rsidRPr="00AF3397">
        <w:br/>
        <w:t>i znajomości orzecznictwa. Każdorazowo praktyka winna utrwalić wiedzę zdobytą podczas bezpośrednio poprzedzających ją zajęć seminaryjnych w ramach zjazdu.</w:t>
      </w:r>
    </w:p>
    <w:p w:rsidR="00253B4D" w:rsidRPr="00AF3397" w:rsidRDefault="00253B4D" w:rsidP="00AF3397">
      <w:pPr>
        <w:ind w:firstLine="708"/>
        <w:jc w:val="both"/>
      </w:pPr>
    </w:p>
    <w:p w:rsidR="006F4D93" w:rsidRPr="00AF3397" w:rsidRDefault="006F4D93" w:rsidP="00AF3397">
      <w:pPr>
        <w:ind w:firstLine="708"/>
        <w:jc w:val="both"/>
      </w:pPr>
      <w:r w:rsidRPr="00AF3397">
        <w:t>Przedmiotem X</w:t>
      </w:r>
      <w:r w:rsidR="00094A38" w:rsidRPr="00AF3397">
        <w:t>I</w:t>
      </w:r>
      <w:r w:rsidRPr="00AF3397">
        <w:t xml:space="preserve"> zjazdu aplikacji sędziowskiej,</w:t>
      </w:r>
      <w:r w:rsidR="00094A38" w:rsidRPr="00AF3397">
        <w:t xml:space="preserve"> odbywającego się w dni</w:t>
      </w:r>
      <w:r w:rsidR="00EA55EA" w:rsidRPr="00AF3397">
        <w:t xml:space="preserve">ach </w:t>
      </w:r>
      <w:r w:rsidR="00EA55EA" w:rsidRPr="00AF3397">
        <w:rPr>
          <w:b/>
          <w:u w:val="single"/>
        </w:rPr>
        <w:t xml:space="preserve">od </w:t>
      </w:r>
      <w:r w:rsidR="00253B4D" w:rsidRPr="00AF3397">
        <w:rPr>
          <w:b/>
          <w:u w:val="single"/>
        </w:rPr>
        <w:t>7</w:t>
      </w:r>
      <w:r w:rsidR="00EA55EA" w:rsidRPr="00AF3397">
        <w:rPr>
          <w:b/>
          <w:u w:val="single"/>
        </w:rPr>
        <w:t xml:space="preserve"> do </w:t>
      </w:r>
      <w:r w:rsidR="00C1095D" w:rsidRPr="00AF3397">
        <w:rPr>
          <w:b/>
          <w:u w:val="single"/>
        </w:rPr>
        <w:t>1</w:t>
      </w:r>
      <w:r w:rsidR="00253B4D" w:rsidRPr="00AF3397">
        <w:rPr>
          <w:b/>
          <w:u w:val="single"/>
        </w:rPr>
        <w:t>1</w:t>
      </w:r>
      <w:r w:rsidR="00094A38" w:rsidRPr="00AF3397">
        <w:rPr>
          <w:b/>
          <w:u w:val="single"/>
        </w:rPr>
        <w:t xml:space="preserve"> lutego</w:t>
      </w:r>
      <w:r w:rsidR="00EA55EA" w:rsidRPr="00AF3397">
        <w:rPr>
          <w:b/>
          <w:u w:val="single"/>
        </w:rPr>
        <w:t xml:space="preserve"> 202</w:t>
      </w:r>
      <w:r w:rsidR="00253B4D" w:rsidRPr="00AF3397">
        <w:rPr>
          <w:b/>
          <w:u w:val="single"/>
        </w:rPr>
        <w:t>2</w:t>
      </w:r>
      <w:r w:rsidRPr="00AF3397">
        <w:rPr>
          <w:b/>
          <w:u w:val="single"/>
        </w:rPr>
        <w:t xml:space="preserve"> </w:t>
      </w:r>
      <w:r w:rsidR="00BE0746">
        <w:rPr>
          <w:b/>
          <w:u w:val="single"/>
        </w:rPr>
        <w:t>r.</w:t>
      </w:r>
      <w:r w:rsidRPr="00AF3397">
        <w:t>, są następujące zagadnienia:</w:t>
      </w:r>
    </w:p>
    <w:p w:rsidR="006F4D93" w:rsidRPr="00AF3397" w:rsidRDefault="00094A38" w:rsidP="00AF3397">
      <w:pPr>
        <w:ind w:firstLine="708"/>
        <w:jc w:val="both"/>
      </w:pPr>
      <w:r w:rsidRPr="00AF3397">
        <w:t xml:space="preserve"> - </w:t>
      </w:r>
      <w:r w:rsidR="006F4D93" w:rsidRPr="00AF3397">
        <w:t xml:space="preserve">postępowanie </w:t>
      </w:r>
      <w:r w:rsidRPr="00AF3397">
        <w:t xml:space="preserve">wykonawcze </w:t>
      </w:r>
      <w:r w:rsidR="00276396" w:rsidRPr="00AF3397">
        <w:t>w zakresie wykonywania kar i środków</w:t>
      </w:r>
      <w:r w:rsidR="006F4D93" w:rsidRPr="00AF3397">
        <w:t>,</w:t>
      </w:r>
    </w:p>
    <w:p w:rsidR="006F4D93" w:rsidRPr="00AF3397" w:rsidRDefault="006F4D93" w:rsidP="00AF3397">
      <w:pPr>
        <w:ind w:firstLine="708"/>
        <w:jc w:val="both"/>
      </w:pPr>
      <w:r w:rsidRPr="00AF3397">
        <w:t xml:space="preserve">- przestępstwa przeciwko </w:t>
      </w:r>
      <w:r w:rsidR="00276396" w:rsidRPr="00AF3397">
        <w:t>działalności instytucji państwowych oraz samorządu terytorialnego, wymiarowi sprawiedliwości i ochronie informacji.</w:t>
      </w:r>
    </w:p>
    <w:p w:rsidR="00253B4D" w:rsidRPr="00AF3397" w:rsidRDefault="00253B4D" w:rsidP="00AF3397">
      <w:pPr>
        <w:ind w:firstLine="708"/>
        <w:jc w:val="both"/>
        <w:rPr>
          <w:b/>
        </w:rPr>
      </w:pPr>
    </w:p>
    <w:p w:rsidR="00C1095D" w:rsidRPr="00AF3397" w:rsidRDefault="00253B4D" w:rsidP="00AF3397">
      <w:pPr>
        <w:ind w:firstLine="708"/>
        <w:jc w:val="both"/>
        <w:rPr>
          <w:b/>
        </w:rPr>
      </w:pPr>
      <w:r w:rsidRPr="00AF3397">
        <w:rPr>
          <w:b/>
        </w:rPr>
        <w:t xml:space="preserve">Praktyki dotyczyć będą wyłącznie zagadnień karno-wykonawczych i </w:t>
      </w:r>
      <w:r w:rsidR="0040012F" w:rsidRPr="00AF3397">
        <w:rPr>
          <w:b/>
        </w:rPr>
        <w:t> </w:t>
      </w:r>
      <w:r w:rsidRPr="00AF3397">
        <w:rPr>
          <w:b/>
        </w:rPr>
        <w:t>penitencjarnych.</w:t>
      </w:r>
    </w:p>
    <w:p w:rsidR="00253B4D" w:rsidRPr="00AF3397" w:rsidRDefault="00253B4D" w:rsidP="00AF3397">
      <w:pPr>
        <w:ind w:firstLine="708"/>
        <w:jc w:val="both"/>
      </w:pPr>
    </w:p>
    <w:p w:rsidR="00AF3397" w:rsidRPr="00AF3397" w:rsidRDefault="00AF3397" w:rsidP="00AF3397">
      <w:pPr>
        <w:ind w:firstLine="708"/>
        <w:jc w:val="both"/>
      </w:pPr>
      <w:r w:rsidRPr="00AF3397">
        <w:t>Wobec powyższego przedmiotem praktyki po XI zjeździe aplikacji sędziowskiej</w:t>
      </w:r>
      <w:r w:rsidRPr="00AF3397">
        <w:br/>
        <w:t xml:space="preserve">w szczególności winno być: </w:t>
      </w:r>
    </w:p>
    <w:p w:rsidR="00AF3397" w:rsidRPr="00AF3397" w:rsidRDefault="00AF3397" w:rsidP="00AF3397">
      <w:pPr>
        <w:pStyle w:val="msonormalcxspdrugie"/>
        <w:spacing w:before="0" w:beforeAutospacing="0" w:after="0" w:afterAutospacing="0"/>
        <w:contextualSpacing/>
        <w:jc w:val="both"/>
      </w:pPr>
    </w:p>
    <w:p w:rsidR="00AF3397" w:rsidRPr="00AF3397" w:rsidRDefault="00AF3397" w:rsidP="00AF3397">
      <w:pPr>
        <w:pStyle w:val="Akapitzlist"/>
        <w:spacing w:after="0" w:line="240" w:lineRule="auto"/>
        <w:ind w:left="0"/>
        <w:jc w:val="both"/>
        <w:rPr>
          <w:b/>
          <w:sz w:val="24"/>
          <w:szCs w:val="24"/>
          <w:u w:val="single"/>
          <w:lang w:val="pl-PL"/>
        </w:rPr>
      </w:pPr>
      <w:r>
        <w:rPr>
          <w:b/>
          <w:sz w:val="24"/>
          <w:szCs w:val="24"/>
          <w:u w:val="single"/>
          <w:lang w:val="pl-PL"/>
        </w:rPr>
        <w:t>W</w:t>
      </w:r>
      <w:r w:rsidRPr="00AF3397">
        <w:rPr>
          <w:b/>
          <w:sz w:val="24"/>
          <w:szCs w:val="24"/>
          <w:u w:val="single"/>
          <w:lang w:val="pl-PL"/>
        </w:rPr>
        <w:t xml:space="preserve"> sądzie rejonowym w wydziałach, w których wykonywane są orzeczenia karne: </w:t>
      </w:r>
    </w:p>
    <w:p w:rsidR="00AF3397" w:rsidRPr="00AF3397" w:rsidRDefault="00AF3397" w:rsidP="00AF3397">
      <w:pPr>
        <w:pStyle w:val="Akapitzlist"/>
        <w:spacing w:after="0" w:line="240" w:lineRule="auto"/>
        <w:ind w:left="0"/>
        <w:jc w:val="both"/>
        <w:rPr>
          <w:sz w:val="24"/>
          <w:szCs w:val="24"/>
          <w:lang w:val="pl-PL"/>
        </w:rPr>
      </w:pPr>
      <w:r w:rsidRPr="00AF3397">
        <w:rPr>
          <w:sz w:val="24"/>
          <w:szCs w:val="24"/>
          <w:lang w:val="pl-PL"/>
        </w:rPr>
        <w:t>- zapoznanie się z pracą przewodniczącego wydziału wykonawczego (sekcji wykonawczej)  oraz zasadami biurowości w sprawach związan</w:t>
      </w:r>
      <w:r w:rsidR="00BE0746">
        <w:rPr>
          <w:sz w:val="24"/>
          <w:szCs w:val="24"/>
          <w:lang w:val="pl-PL"/>
        </w:rPr>
        <w:t>ych z postępowaniem wykonawczym;</w:t>
      </w:r>
    </w:p>
    <w:p w:rsidR="00AF3397" w:rsidRPr="00AF3397" w:rsidRDefault="00AF3397" w:rsidP="00AF3397">
      <w:pPr>
        <w:pStyle w:val="Akapitzlist"/>
        <w:spacing w:after="0" w:line="240" w:lineRule="auto"/>
        <w:ind w:left="0"/>
        <w:jc w:val="both"/>
        <w:rPr>
          <w:sz w:val="24"/>
          <w:szCs w:val="24"/>
          <w:lang w:val="pl-PL"/>
        </w:rPr>
      </w:pPr>
      <w:r w:rsidRPr="00AF3397">
        <w:rPr>
          <w:sz w:val="24"/>
          <w:szCs w:val="24"/>
          <w:lang w:val="pl-PL"/>
        </w:rPr>
        <w:t>- zapoznanie się na przykładach konkretnych akt z przebiegiem czynności i podejmowanymi decyzjami w ramach wykonywania poszczególnych kar, środków karn</w:t>
      </w:r>
      <w:r w:rsidR="00BE0746">
        <w:rPr>
          <w:sz w:val="24"/>
          <w:szCs w:val="24"/>
          <w:lang w:val="pl-PL"/>
        </w:rPr>
        <w:t>ych i środków zabezpieczających;</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sporządzanie projektów zarządzeń wykonania wyrokó</w:t>
      </w:r>
      <w:r w:rsidR="00BE0746">
        <w:rPr>
          <w:rFonts w:ascii="Times New Roman" w:hAnsi="Times New Roman"/>
          <w:sz w:val="24"/>
          <w:szCs w:val="24"/>
        </w:rPr>
        <w:t>w o różnej treści merytorycznej;</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uczestniczenie w posiedzeniach sądu I instancji, w czasie których rozpoznawane będę sprawy z zakresu postępowania wykonawczego pozostające</w:t>
      </w:r>
      <w:r w:rsidR="00BE0746">
        <w:rPr>
          <w:rFonts w:ascii="Times New Roman" w:hAnsi="Times New Roman"/>
          <w:sz w:val="24"/>
          <w:szCs w:val="24"/>
        </w:rPr>
        <w:t xml:space="preserve"> we właściwości sądu rejonowego;</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lastRenderedPageBreak/>
        <w:t>- sporządzanie projektów postanowień w sprawach najczęściej rozpoznawanych w sądzie rejonowym z zakresu postępowania wykonawczego (w szczególności: rozłożenie grzywny na raty, odwołanie rat, zamiana grzywny na pracę społecznie użyteczną, zamiana grzywny na zastępczą karę pozbawienia wolności, zamiana kary ograniczenia wolności na zastępczą karę pozbawienia wolności, zarządzenie wykonania warunkowo zawieszonej kary pozbawienia wolności, zmiana obowiązków w czasie wykonywania warunkowo zawieszonej kary pozbawienia wolności, odroczenie wykonania kary pozbawienia wolności, orzekanie o dalszym stosowaniu środka zabezpieczającego w postaci umieszczenia w zamkniętym zakładzie lub orzekanie w przedmiocie wniosku o orzeczenie, zmianę lub uchylenie środka zabezpieczającego).</w:t>
      </w:r>
    </w:p>
    <w:p w:rsidR="00AF3397" w:rsidRPr="00AF3397" w:rsidRDefault="00AF3397" w:rsidP="00AF3397">
      <w:pPr>
        <w:jc w:val="both"/>
      </w:pPr>
    </w:p>
    <w:p w:rsidR="00AF3397" w:rsidRPr="00AF3397" w:rsidRDefault="00AF3397" w:rsidP="00AF3397">
      <w:pPr>
        <w:pStyle w:val="Akapitzlist"/>
        <w:spacing w:after="0" w:line="240" w:lineRule="auto"/>
        <w:ind w:left="0"/>
        <w:jc w:val="both"/>
        <w:rPr>
          <w:b/>
          <w:sz w:val="24"/>
          <w:szCs w:val="24"/>
          <w:u w:val="single"/>
          <w:lang w:val="pl-PL"/>
        </w:rPr>
      </w:pPr>
      <w:r>
        <w:rPr>
          <w:b/>
          <w:sz w:val="24"/>
          <w:szCs w:val="24"/>
          <w:u w:val="single"/>
          <w:lang w:val="pl-PL"/>
        </w:rPr>
        <w:t>W</w:t>
      </w:r>
      <w:r w:rsidRPr="00AF3397">
        <w:rPr>
          <w:b/>
          <w:sz w:val="24"/>
          <w:szCs w:val="24"/>
          <w:u w:val="single"/>
          <w:lang w:val="pl-PL"/>
        </w:rPr>
        <w:t xml:space="preserve"> sądzie okręgowym, w wydziałach penitencjarnych:</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uczestniczenie w pos</w:t>
      </w:r>
      <w:r w:rsidR="00BE0746">
        <w:rPr>
          <w:rFonts w:ascii="Times New Roman" w:hAnsi="Times New Roman"/>
          <w:sz w:val="24"/>
          <w:szCs w:val="24"/>
        </w:rPr>
        <w:t>iedzeniach sądu penitencjarnego;</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sporządzanie projektów postanowień w przedmiocie:</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a)  udzielenia i odwołania przerwy,</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xml:space="preserve">b) udzielenia i odwołania warunkowego przedterminowego zwolnienia, </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c) udzielenia zezwolenia na odbywanie kary pozbawienia wolności w systemie dozoru elektronicznego i odwołanie takiego zezwolenia,</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sporządzanie projektów decyzji w przedmiocie skarg skazanych składanych w trybie art. 6 i 7 k.k.w.,</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sporządzenie projektów postanowień wydawanych na skutek kontroli odwoławczej decyzji wydawanych w sprawach związanych z wykonaniem orzeczeń w sądzie rejonowym.</w:t>
      </w:r>
    </w:p>
    <w:p w:rsidR="00FC4C8E" w:rsidRPr="00AF3397" w:rsidRDefault="00FC4C8E" w:rsidP="00AF3397">
      <w:pPr>
        <w:jc w:val="both"/>
      </w:pPr>
    </w:p>
    <w:p w:rsidR="00FA5333" w:rsidRPr="00AF3397" w:rsidRDefault="00FA5333" w:rsidP="00AF3397">
      <w:pPr>
        <w:ind w:firstLine="708"/>
        <w:jc w:val="both"/>
      </w:pPr>
      <w:r w:rsidRPr="00AF3397">
        <w:t>Mając na uwadze właściwe przygotowanie aplikantów do wykonywania zawodu sędziego oraz zakres obowiązków nałożonych na sędziego w postępowaniu wykonawczym</w:t>
      </w:r>
      <w:r w:rsidR="00A94BC8" w:rsidRPr="00AF3397">
        <w:t>,</w:t>
      </w:r>
      <w:r w:rsidRPr="00AF3397">
        <w:t xml:space="preserve"> zasadnym jest nabycie przez aplikantów wiedzy dotyczącej funkcjonowania zakładu karnego bądź aresztu śledczego oraz sytuacji osób osadzonych</w:t>
      </w:r>
      <w:r w:rsidR="00C1095D" w:rsidRPr="00AF3397">
        <w:t xml:space="preserve"> (realizacji ich praw i obowiązków)</w:t>
      </w:r>
      <w:r w:rsidRPr="00AF3397">
        <w:t xml:space="preserve">. </w:t>
      </w:r>
    </w:p>
    <w:p w:rsidR="00253B4D" w:rsidRPr="00AF3397" w:rsidRDefault="00253B4D" w:rsidP="00AF3397">
      <w:pPr>
        <w:ind w:firstLine="708"/>
        <w:jc w:val="both"/>
      </w:pPr>
    </w:p>
    <w:p w:rsidR="00516434" w:rsidRPr="00AF3397" w:rsidRDefault="00FA5333" w:rsidP="00AF3397">
      <w:pPr>
        <w:ind w:firstLine="708"/>
        <w:jc w:val="both"/>
        <w:rPr>
          <w:b/>
        </w:rPr>
      </w:pPr>
      <w:r w:rsidRPr="00AF3397">
        <w:t>W trakcie prakt</w:t>
      </w:r>
      <w:r w:rsidR="00516434" w:rsidRPr="00AF3397">
        <w:t>yki odbywanej w sądzie okręgowym</w:t>
      </w:r>
      <w:r w:rsidR="00C1095D" w:rsidRPr="00AF3397">
        <w:t xml:space="preserve"> w</w:t>
      </w:r>
      <w:r w:rsidR="00516434" w:rsidRPr="00AF3397">
        <w:t xml:space="preserve"> wydziale penitencjarnym</w:t>
      </w:r>
      <w:r w:rsidRPr="00AF3397">
        <w:t xml:space="preserve"> patron praktyki powi</w:t>
      </w:r>
      <w:r w:rsidR="00A94BC8" w:rsidRPr="00AF3397">
        <w:t xml:space="preserve">nien zatem zapewnić aplikantowi </w:t>
      </w:r>
      <w:r w:rsidRPr="00AF3397">
        <w:t xml:space="preserve">odbycie co najmniej jednego dnia praktyki w zakładzie karnym lub areszcie śledczym, w </w:t>
      </w:r>
      <w:r w:rsidR="0040012F" w:rsidRPr="00AF3397">
        <w:t> </w:t>
      </w:r>
      <w:r w:rsidR="00C1095D" w:rsidRPr="00AF3397">
        <w:t>czasie</w:t>
      </w:r>
      <w:r w:rsidRPr="00AF3397">
        <w:t xml:space="preserve"> którego możliwe byłoby zapoznanie się przez aplikanta z funkcjonowaniem jednostek </w:t>
      </w:r>
      <w:r w:rsidR="0040012F" w:rsidRPr="00AF3397">
        <w:t> </w:t>
      </w:r>
      <w:r w:rsidRPr="00AF3397">
        <w:t xml:space="preserve">organizacyjnych Służby Więziennej, z ich strukturą organizacyjną, zadaniami w </w:t>
      </w:r>
      <w:r w:rsidR="0040012F" w:rsidRPr="00AF3397">
        <w:t> </w:t>
      </w:r>
      <w:r w:rsidRPr="00AF3397">
        <w:t xml:space="preserve">zakresie wykonywania tymczasowego aresztowania oraz kar pozbawienia wolności i </w:t>
      </w:r>
      <w:r w:rsidR="0040012F" w:rsidRPr="00AF3397">
        <w:t> </w:t>
      </w:r>
      <w:r w:rsidRPr="00AF3397">
        <w:t>środków przymusu skutkujących pozbawieniem wolności, wykonywaniem tymczasowego aresztowania w sposób zabezpieczający prawidłowy tok postępowania karnego</w:t>
      </w:r>
      <w:r w:rsidR="00A94BC8" w:rsidRPr="00AF3397">
        <w:t xml:space="preserve">. </w:t>
      </w:r>
      <w:r w:rsidR="00253B4D" w:rsidRPr="00AF3397">
        <w:rPr>
          <w:b/>
        </w:rPr>
        <w:t>W przypadku, gdy</w:t>
      </w:r>
      <w:r w:rsidR="00BE0746">
        <w:rPr>
          <w:b/>
        </w:rPr>
        <w:t>by nie było to możliwe, a</w:t>
      </w:r>
      <w:r w:rsidR="00253B4D" w:rsidRPr="00AF3397">
        <w:rPr>
          <w:b/>
        </w:rPr>
        <w:t xml:space="preserve"> posiedzenia sądu penitencjarnego będą odbywały się zdalnie, należy umożliwić aplikantowi wzięcie udziału w takim posiedzeniu (w siedzibie sądu </w:t>
      </w:r>
      <w:r w:rsidR="00BE0746">
        <w:rPr>
          <w:b/>
        </w:rPr>
        <w:t>albo jednostce penitencjarnej).</w:t>
      </w:r>
    </w:p>
    <w:p w:rsidR="00253B4D" w:rsidRPr="00AF3397" w:rsidRDefault="00253B4D" w:rsidP="00AF3397">
      <w:pPr>
        <w:jc w:val="both"/>
        <w:rPr>
          <w:b/>
        </w:rPr>
      </w:pPr>
    </w:p>
    <w:p w:rsidR="00253B4D" w:rsidRPr="00AF3397" w:rsidRDefault="00BE0746" w:rsidP="00AF3397">
      <w:pPr>
        <w:ind w:firstLine="708"/>
        <w:contextualSpacing/>
        <w:jc w:val="both"/>
      </w:pPr>
      <w:r>
        <w:t>I tak</w:t>
      </w:r>
      <w:r w:rsidR="00253B4D" w:rsidRPr="00AF3397">
        <w:t xml:space="preserve"> obligatoryjnymi czynnościami aplikanta</w:t>
      </w:r>
      <w:r w:rsidR="00AF3397">
        <w:t xml:space="preserve"> </w:t>
      </w:r>
      <w:r w:rsidR="00AF3397">
        <w:rPr>
          <w:b/>
          <w:u w:val="single"/>
        </w:rPr>
        <w:t>w sądzie rejonowym</w:t>
      </w:r>
      <w:r w:rsidR="00253B4D" w:rsidRPr="00AF3397">
        <w:t xml:space="preserve"> w </w:t>
      </w:r>
      <w:r w:rsidR="0040012F" w:rsidRPr="00AF3397">
        <w:t> </w:t>
      </w:r>
      <w:r>
        <w:t xml:space="preserve">ramach praktyki po XI zjeździe </w:t>
      </w:r>
      <w:r w:rsidR="00253B4D" w:rsidRPr="00AF3397">
        <w:t>winn</w:t>
      </w:r>
      <w:r w:rsidR="0040012F" w:rsidRPr="00AF3397">
        <w:t>y</w:t>
      </w:r>
      <w:r w:rsidR="00253B4D" w:rsidRPr="00AF3397">
        <w:t xml:space="preserve"> być</w:t>
      </w:r>
      <w:r w:rsidR="0040012F" w:rsidRPr="00AF3397">
        <w:t>:</w:t>
      </w:r>
      <w:r>
        <w:t xml:space="preserve"> sporządza</w:t>
      </w:r>
      <w:r w:rsidR="00253B4D" w:rsidRPr="00AF3397">
        <w:t xml:space="preserve">nie projektów postanowień z uzasadnieniem wraz z zarządzeniami wykonawczymi, w odniesieniu do: </w:t>
      </w:r>
    </w:p>
    <w:p w:rsidR="00253B4D" w:rsidRPr="00AF3397" w:rsidRDefault="00253B4D" w:rsidP="00AF3397">
      <w:pPr>
        <w:pStyle w:val="Akapitzlist"/>
        <w:numPr>
          <w:ilvl w:val="0"/>
          <w:numId w:val="7"/>
        </w:numPr>
        <w:spacing w:after="0" w:line="240" w:lineRule="auto"/>
        <w:jc w:val="both"/>
        <w:rPr>
          <w:sz w:val="24"/>
          <w:szCs w:val="24"/>
          <w:lang w:val="pl-PL"/>
        </w:rPr>
      </w:pPr>
      <w:r w:rsidRPr="00AF3397">
        <w:rPr>
          <w:sz w:val="24"/>
          <w:szCs w:val="24"/>
          <w:lang w:val="pl-PL"/>
        </w:rPr>
        <w:t>zarządzenia wykonania kary warunkowo zawieszonej,</w:t>
      </w:r>
    </w:p>
    <w:p w:rsidR="00253B4D" w:rsidRPr="00AF3397" w:rsidRDefault="00253B4D" w:rsidP="00AF3397">
      <w:pPr>
        <w:pStyle w:val="Akapitzlist"/>
        <w:numPr>
          <w:ilvl w:val="0"/>
          <w:numId w:val="7"/>
        </w:numPr>
        <w:spacing w:after="0" w:line="240" w:lineRule="auto"/>
        <w:jc w:val="both"/>
        <w:rPr>
          <w:sz w:val="24"/>
          <w:szCs w:val="24"/>
          <w:lang w:val="pl-PL"/>
        </w:rPr>
      </w:pPr>
      <w:r w:rsidRPr="00AF3397">
        <w:rPr>
          <w:sz w:val="24"/>
          <w:szCs w:val="24"/>
          <w:lang w:val="pl-PL"/>
        </w:rPr>
        <w:t>odroczenia wykonania kary,</w:t>
      </w:r>
    </w:p>
    <w:p w:rsidR="00253B4D" w:rsidRPr="00AF3397" w:rsidRDefault="00253B4D" w:rsidP="00AF3397">
      <w:pPr>
        <w:pStyle w:val="Akapitzlist"/>
        <w:numPr>
          <w:ilvl w:val="0"/>
          <w:numId w:val="7"/>
        </w:numPr>
        <w:spacing w:after="0" w:line="240" w:lineRule="auto"/>
        <w:jc w:val="both"/>
        <w:rPr>
          <w:sz w:val="24"/>
          <w:szCs w:val="24"/>
          <w:lang w:val="pl-PL"/>
        </w:rPr>
      </w:pPr>
      <w:r w:rsidRPr="00AF3397">
        <w:rPr>
          <w:sz w:val="24"/>
          <w:szCs w:val="24"/>
          <w:lang w:val="pl-PL"/>
        </w:rPr>
        <w:t>rozłożenia grzywny na raty, odwołania rat,</w:t>
      </w:r>
    </w:p>
    <w:p w:rsidR="00253B4D" w:rsidRDefault="00253B4D" w:rsidP="00AF3397">
      <w:pPr>
        <w:pStyle w:val="Akapitzlist"/>
        <w:numPr>
          <w:ilvl w:val="0"/>
          <w:numId w:val="7"/>
        </w:numPr>
        <w:spacing w:after="0" w:line="240" w:lineRule="auto"/>
        <w:jc w:val="both"/>
        <w:rPr>
          <w:sz w:val="24"/>
          <w:szCs w:val="24"/>
          <w:lang w:val="pl-PL"/>
        </w:rPr>
      </w:pPr>
      <w:r w:rsidRPr="00AF3397">
        <w:rPr>
          <w:sz w:val="24"/>
          <w:szCs w:val="24"/>
          <w:lang w:val="pl-PL"/>
        </w:rPr>
        <w:t>zawieszenia postępowania wykonawczego</w:t>
      </w:r>
      <w:r w:rsidR="0040012F" w:rsidRPr="00AF3397">
        <w:rPr>
          <w:sz w:val="24"/>
          <w:szCs w:val="24"/>
          <w:lang w:val="pl-PL"/>
        </w:rPr>
        <w:t>,</w:t>
      </w:r>
    </w:p>
    <w:p w:rsidR="00AF3397" w:rsidRDefault="00AF3397" w:rsidP="00AF3397">
      <w:pPr>
        <w:pStyle w:val="Akapitzlist"/>
        <w:numPr>
          <w:ilvl w:val="0"/>
          <w:numId w:val="7"/>
        </w:numPr>
        <w:spacing w:after="0" w:line="240" w:lineRule="auto"/>
        <w:jc w:val="both"/>
        <w:rPr>
          <w:sz w:val="24"/>
          <w:szCs w:val="24"/>
          <w:lang w:val="pl-PL"/>
        </w:rPr>
      </w:pPr>
      <w:r w:rsidRPr="00AF3397">
        <w:rPr>
          <w:sz w:val="24"/>
          <w:szCs w:val="24"/>
          <w:lang w:val="pl-PL"/>
        </w:rPr>
        <w:t>zmiany obowiązków w czasie wykonywania warunkowo zawieszonej kary pozbawienia wolności,</w:t>
      </w:r>
    </w:p>
    <w:p w:rsidR="00AF3397" w:rsidRPr="00AF3397" w:rsidRDefault="00AF3397" w:rsidP="00AF3397">
      <w:pPr>
        <w:pStyle w:val="Akapitzlist"/>
        <w:numPr>
          <w:ilvl w:val="0"/>
          <w:numId w:val="7"/>
        </w:numPr>
        <w:spacing w:after="0" w:line="240" w:lineRule="auto"/>
        <w:jc w:val="both"/>
        <w:rPr>
          <w:sz w:val="24"/>
          <w:szCs w:val="24"/>
          <w:lang w:val="pl-PL"/>
        </w:rPr>
      </w:pPr>
      <w:r w:rsidRPr="00AF3397">
        <w:rPr>
          <w:sz w:val="24"/>
          <w:szCs w:val="24"/>
          <w:lang w:val="pl-PL"/>
        </w:rPr>
        <w:t>wykładni orzeczenia,</w:t>
      </w:r>
    </w:p>
    <w:p w:rsidR="00AF3397" w:rsidRPr="00AF3397" w:rsidRDefault="00AF3397" w:rsidP="00AF3397">
      <w:pPr>
        <w:pStyle w:val="Akapitzlist"/>
        <w:numPr>
          <w:ilvl w:val="0"/>
          <w:numId w:val="7"/>
        </w:numPr>
        <w:spacing w:after="0" w:line="240" w:lineRule="auto"/>
        <w:jc w:val="both"/>
        <w:rPr>
          <w:sz w:val="24"/>
          <w:szCs w:val="24"/>
          <w:lang w:val="pl-PL"/>
        </w:rPr>
      </w:pPr>
      <w:r>
        <w:rPr>
          <w:sz w:val="24"/>
          <w:szCs w:val="24"/>
          <w:lang w:val="pl-PL"/>
        </w:rPr>
        <w:t>zatarcia skazania.</w:t>
      </w:r>
    </w:p>
    <w:p w:rsidR="00253B4D" w:rsidRPr="00AF3397" w:rsidRDefault="00253B4D" w:rsidP="00AF3397">
      <w:pPr>
        <w:ind w:firstLine="708"/>
        <w:jc w:val="both"/>
      </w:pPr>
    </w:p>
    <w:p w:rsidR="00253B4D" w:rsidRDefault="00BE0746" w:rsidP="00AF3397">
      <w:pPr>
        <w:ind w:firstLine="708"/>
        <w:jc w:val="both"/>
      </w:pPr>
      <w:r>
        <w:t>Z kolei</w:t>
      </w:r>
      <w:r w:rsidR="0040012F" w:rsidRPr="00AF3397">
        <w:t xml:space="preserve"> </w:t>
      </w:r>
      <w:r w:rsidR="00AF3397">
        <w:t>obligatoryjnymi</w:t>
      </w:r>
      <w:r w:rsidR="00253B4D" w:rsidRPr="00AF3397">
        <w:t xml:space="preserve"> czynnościami aplikanta </w:t>
      </w:r>
      <w:r w:rsidR="00AF3397">
        <w:rPr>
          <w:b/>
          <w:u w:val="single"/>
        </w:rPr>
        <w:t>w sądzie okręgowym</w:t>
      </w:r>
      <w:r w:rsidR="00AF3397" w:rsidRPr="00AF3397">
        <w:t xml:space="preserve"> w  </w:t>
      </w:r>
      <w:r>
        <w:t xml:space="preserve">ramach praktyki po XI zjeździe </w:t>
      </w:r>
      <w:r w:rsidR="00AF3397" w:rsidRPr="00AF3397">
        <w:t>winny być: sporządzenie projektów postanowień z uzasadnieniem wraz z zarządzeniami wykonawczymi, w odniesieniu do:</w:t>
      </w:r>
    </w:p>
    <w:p w:rsidR="00AF3397" w:rsidRDefault="00AF3397" w:rsidP="00AF3397">
      <w:pPr>
        <w:pStyle w:val="Akapitzlist"/>
        <w:numPr>
          <w:ilvl w:val="0"/>
          <w:numId w:val="9"/>
        </w:numPr>
        <w:spacing w:after="0" w:line="240" w:lineRule="auto"/>
        <w:jc w:val="both"/>
        <w:rPr>
          <w:sz w:val="24"/>
          <w:szCs w:val="24"/>
          <w:lang w:val="pl-PL"/>
        </w:rPr>
      </w:pPr>
      <w:r>
        <w:rPr>
          <w:sz w:val="24"/>
          <w:szCs w:val="24"/>
          <w:lang w:val="pl-PL"/>
        </w:rPr>
        <w:t>udzielenia warunkowego przedterminowego zwolnienia,</w:t>
      </w:r>
    </w:p>
    <w:p w:rsidR="00AF3397" w:rsidRDefault="00AF3397" w:rsidP="00AF3397">
      <w:pPr>
        <w:pStyle w:val="Akapitzlist"/>
        <w:numPr>
          <w:ilvl w:val="0"/>
          <w:numId w:val="9"/>
        </w:numPr>
        <w:spacing w:after="0" w:line="240" w:lineRule="auto"/>
        <w:jc w:val="both"/>
        <w:rPr>
          <w:sz w:val="24"/>
          <w:szCs w:val="24"/>
          <w:lang w:val="pl-PL"/>
        </w:rPr>
      </w:pPr>
      <w:r>
        <w:rPr>
          <w:sz w:val="24"/>
          <w:szCs w:val="24"/>
          <w:lang w:val="pl-PL"/>
        </w:rPr>
        <w:t>odwołania warunkowego przedterminowego zwolnienia,</w:t>
      </w:r>
    </w:p>
    <w:p w:rsidR="00AF3397" w:rsidRPr="00AF3397" w:rsidRDefault="00AF3397" w:rsidP="00AF3397">
      <w:pPr>
        <w:pStyle w:val="Akapitzlist"/>
        <w:numPr>
          <w:ilvl w:val="0"/>
          <w:numId w:val="9"/>
        </w:numPr>
        <w:spacing w:after="0" w:line="240" w:lineRule="auto"/>
        <w:jc w:val="both"/>
        <w:rPr>
          <w:sz w:val="24"/>
          <w:szCs w:val="24"/>
          <w:lang w:val="pl-PL"/>
        </w:rPr>
      </w:pPr>
      <w:r w:rsidRPr="00AF3397">
        <w:rPr>
          <w:sz w:val="24"/>
          <w:szCs w:val="24"/>
          <w:lang w:val="pl-PL"/>
        </w:rPr>
        <w:t>przerwy w odbyciu kary,</w:t>
      </w:r>
    </w:p>
    <w:p w:rsidR="00AF3397" w:rsidRPr="00AF3397" w:rsidRDefault="00AF3397" w:rsidP="00AF3397">
      <w:pPr>
        <w:pStyle w:val="Akapitzlist"/>
        <w:numPr>
          <w:ilvl w:val="0"/>
          <w:numId w:val="9"/>
        </w:numPr>
        <w:jc w:val="both"/>
        <w:rPr>
          <w:lang w:val="pl-PL"/>
        </w:rPr>
      </w:pPr>
      <w:r>
        <w:rPr>
          <w:sz w:val="24"/>
          <w:szCs w:val="24"/>
          <w:lang w:val="pl-PL"/>
        </w:rPr>
        <w:t xml:space="preserve">orzeczenia </w:t>
      </w:r>
      <w:r w:rsidRPr="00AF3397">
        <w:rPr>
          <w:sz w:val="24"/>
          <w:szCs w:val="24"/>
          <w:lang w:val="pl-PL"/>
        </w:rPr>
        <w:t>dozoru elektronicznego</w:t>
      </w:r>
      <w:r>
        <w:rPr>
          <w:sz w:val="24"/>
          <w:szCs w:val="24"/>
          <w:lang w:val="pl-PL"/>
        </w:rPr>
        <w:t>,</w:t>
      </w:r>
    </w:p>
    <w:p w:rsidR="00FC4C8E" w:rsidRPr="00AF3397" w:rsidRDefault="00FC4C8E" w:rsidP="00AF3397">
      <w:pPr>
        <w:ind w:firstLine="708"/>
        <w:jc w:val="both"/>
      </w:pPr>
      <w:r w:rsidRPr="00AF3397">
        <w:t xml:space="preserve">Uprzejmie informuję, że przedmiotem sprawdzianu, który aplikanci będą pisać bezpośrednio po odbyciu praktyki (tj. na XII zjeździe aplikacji sędziowskiej) będzie sporządzenie projektu postanowienia sądu wraz z zarządzeniami z zakresu postępowania wykonawczego, dlatego ważnym jest, aby aplikanci podczas praktyk opanowali tę umiejętność w jak najwyższym stopniu.     </w:t>
      </w:r>
    </w:p>
    <w:p w:rsidR="00FC4C8E" w:rsidRDefault="00FC4C8E" w:rsidP="00AF3397">
      <w:pPr>
        <w:ind w:firstLine="360"/>
        <w:jc w:val="both"/>
      </w:pPr>
    </w:p>
    <w:p w:rsidR="00BE0746" w:rsidRPr="00AF3397" w:rsidRDefault="00BE0746" w:rsidP="00AF3397">
      <w:pPr>
        <w:ind w:firstLine="360"/>
        <w:jc w:val="both"/>
      </w:pPr>
    </w:p>
    <w:p w:rsidR="00FC4C8E" w:rsidRPr="00AF3397" w:rsidRDefault="00FC4C8E" w:rsidP="00AF3397">
      <w:pPr>
        <w:ind w:firstLine="360"/>
        <w:jc w:val="both"/>
      </w:pPr>
    </w:p>
    <w:p w:rsidR="00FC4C8E" w:rsidRPr="00AF3397" w:rsidRDefault="00FC4C8E" w:rsidP="00AF3397">
      <w:pPr>
        <w:pStyle w:val="msonormalcxspdrugie"/>
        <w:spacing w:before="0" w:beforeAutospacing="0" w:after="0" w:afterAutospacing="0"/>
        <w:ind w:firstLine="3119"/>
        <w:contextualSpacing/>
        <w:jc w:val="center"/>
      </w:pPr>
      <w:r w:rsidRPr="00AF3397">
        <w:t>Kierownik Działu Dydaktycznego OAS</w:t>
      </w:r>
    </w:p>
    <w:p w:rsidR="00FC4C8E" w:rsidRPr="00AF3397" w:rsidRDefault="00FC4C8E" w:rsidP="00AF3397">
      <w:pPr>
        <w:pStyle w:val="msonormalcxspdrugie"/>
        <w:spacing w:before="0" w:beforeAutospacing="0" w:after="0" w:afterAutospacing="0"/>
        <w:ind w:left="2124" w:firstLine="708"/>
        <w:contextualSpacing/>
        <w:jc w:val="center"/>
      </w:pPr>
      <w:r w:rsidRPr="00AF3397">
        <w:t xml:space="preserve">dr </w:t>
      </w:r>
      <w:r w:rsidR="00253B4D" w:rsidRPr="00AF3397">
        <w:t>Mariusz Kucharczyk</w:t>
      </w:r>
    </w:p>
    <w:p w:rsidR="00FC4C8E" w:rsidRPr="00AF3397" w:rsidRDefault="00FC4C8E" w:rsidP="00AF3397">
      <w:pPr>
        <w:pStyle w:val="msonormalcxspdrugie"/>
        <w:spacing w:before="0" w:beforeAutospacing="0" w:after="0" w:afterAutospacing="0"/>
        <w:ind w:left="2124" w:firstLine="708"/>
        <w:contextualSpacing/>
        <w:jc w:val="center"/>
      </w:pPr>
      <w:r w:rsidRPr="00AF3397">
        <w:t>sędzia</w:t>
      </w:r>
    </w:p>
    <w:p w:rsidR="00FC4C8E" w:rsidRPr="00AF3397" w:rsidRDefault="00FC4C8E" w:rsidP="00AF3397">
      <w:pPr>
        <w:pStyle w:val="msonormalcxspdrugie"/>
        <w:spacing w:before="0" w:beforeAutospacing="0" w:after="0" w:afterAutospacing="0"/>
        <w:contextualSpacing/>
        <w:jc w:val="center"/>
      </w:pPr>
    </w:p>
    <w:p w:rsidR="006F4D93" w:rsidRPr="00AF3397" w:rsidRDefault="006F4D93" w:rsidP="00AF3397">
      <w:pPr>
        <w:pStyle w:val="msonormalcxspdrugie"/>
        <w:spacing w:before="0" w:beforeAutospacing="0" w:after="0" w:afterAutospacing="0"/>
        <w:contextualSpacing/>
        <w:jc w:val="both"/>
      </w:pPr>
    </w:p>
    <w:p w:rsidR="0034432E" w:rsidRPr="00AF3397" w:rsidRDefault="0034432E" w:rsidP="00AF3397">
      <w:pPr>
        <w:jc w:val="both"/>
      </w:pPr>
    </w:p>
    <w:sectPr w:rsidR="0034432E" w:rsidRPr="00AF3397" w:rsidSect="00B9062B">
      <w:headerReference w:type="default" r:id="rId7"/>
      <w:footerReference w:type="default" r:id="rId8"/>
      <w:headerReference w:type="first" r:id="rId9"/>
      <w:footerReference w:type="first" r:id="rId10"/>
      <w:pgSz w:w="11906" w:h="16838" w:code="9"/>
      <w:pgMar w:top="1418" w:right="1418" w:bottom="1560" w:left="1418" w:header="568" w:footer="4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690" w:rsidRDefault="00212690">
      <w:r>
        <w:separator/>
      </w:r>
    </w:p>
  </w:endnote>
  <w:endnote w:type="continuationSeparator" w:id="0">
    <w:p w:rsidR="00212690" w:rsidRDefault="0021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hruti">
    <w:panose1 w:val="020005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62B" w:rsidRDefault="006F4D93">
    <w:pPr>
      <w:pStyle w:val="Stopka"/>
    </w:pPr>
    <w:r>
      <w:fldChar w:fldCharType="begin"/>
    </w:r>
    <w:r>
      <w:instrText xml:space="preserve"> PAGE   \* MERGEFORMAT </w:instrText>
    </w:r>
    <w:r>
      <w:fldChar w:fldCharType="separate"/>
    </w:r>
    <w:r w:rsidR="00104B41">
      <w:rPr>
        <w:noProof/>
      </w:rPr>
      <w:t>2</w:t>
    </w:r>
    <w:r>
      <w:rPr>
        <w:noProof/>
      </w:rPr>
      <w:fldChar w:fldCharType="end"/>
    </w:r>
  </w:p>
  <w:p w:rsidR="00B9062B" w:rsidRDefault="002126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987" w:type="dxa"/>
      <w:tblBorders>
        <w:top w:val="single" w:sz="4" w:space="0" w:color="auto"/>
      </w:tblBorders>
      <w:tblCellMar>
        <w:left w:w="70" w:type="dxa"/>
        <w:right w:w="70" w:type="dxa"/>
      </w:tblCellMar>
      <w:tblLook w:val="0000" w:firstRow="0" w:lastRow="0" w:firstColumn="0" w:lastColumn="0" w:noHBand="0" w:noVBand="0"/>
    </w:tblPr>
    <w:tblGrid>
      <w:gridCol w:w="5099"/>
    </w:tblGrid>
    <w:tr w:rsidR="00B9062B" w:rsidTr="00B9062B">
      <w:trPr>
        <w:trHeight w:val="23"/>
      </w:trPr>
      <w:tc>
        <w:tcPr>
          <w:tcW w:w="5099" w:type="dxa"/>
          <w:tcBorders>
            <w:top w:val="thinThickSmallGap" w:sz="12" w:space="0" w:color="auto"/>
          </w:tcBorders>
        </w:tcPr>
        <w:p w:rsidR="00B9062B" w:rsidRPr="0074505E" w:rsidRDefault="00212690" w:rsidP="00B9062B">
          <w:pPr>
            <w:pStyle w:val="Stopka"/>
            <w:jc w:val="left"/>
            <w:rPr>
              <w:sz w:val="4"/>
              <w:szCs w:val="4"/>
            </w:rPr>
          </w:pPr>
        </w:p>
      </w:tc>
    </w:tr>
  </w:tbl>
  <w:p w:rsidR="00B9062B" w:rsidRPr="00A944C8" w:rsidRDefault="006F4D93" w:rsidP="00B9062B">
    <w:pPr>
      <w:pStyle w:val="Stopka"/>
      <w:rPr>
        <w:sz w:val="18"/>
        <w:szCs w:val="18"/>
      </w:rPr>
    </w:pPr>
    <w:r w:rsidRPr="00A944C8">
      <w:rPr>
        <w:sz w:val="18"/>
        <w:szCs w:val="18"/>
      </w:rPr>
      <w:t>Krajowa Szkoła Sądownictwa i Prokuratury</w:t>
    </w:r>
  </w:p>
  <w:p w:rsidR="00B9062B" w:rsidRPr="00A944C8" w:rsidRDefault="006F4D93" w:rsidP="00B9062B">
    <w:pPr>
      <w:pStyle w:val="Stopka"/>
      <w:rPr>
        <w:sz w:val="18"/>
        <w:szCs w:val="18"/>
      </w:rPr>
    </w:pPr>
    <w:r w:rsidRPr="00A944C8">
      <w:rPr>
        <w:sz w:val="18"/>
        <w:szCs w:val="18"/>
      </w:rPr>
      <w:t>ul. Przy Rondzie 5, 31-547 Kraków</w:t>
    </w:r>
  </w:p>
  <w:p w:rsidR="00B9062B" w:rsidRDefault="00212690" w:rsidP="00B906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690" w:rsidRDefault="00212690">
      <w:r>
        <w:separator/>
      </w:r>
    </w:p>
  </w:footnote>
  <w:footnote w:type="continuationSeparator" w:id="0">
    <w:p w:rsidR="00212690" w:rsidRDefault="00212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62B" w:rsidRPr="009B38B3" w:rsidRDefault="006F4D93" w:rsidP="00B9062B">
    <w:pPr>
      <w:pStyle w:val="Nagwek"/>
      <w:jc w:val="right"/>
      <w:rPr>
        <w:rFonts w:ascii="Century Gothic" w:hAnsi="Century Gothic"/>
        <w:sz w:val="16"/>
        <w:szCs w:val="16"/>
      </w:rPr>
    </w:pPr>
    <w:r w:rsidRPr="009B38B3">
      <w:rPr>
        <w:rFonts w:ascii="Century Gothic" w:hAnsi="Century Gothic"/>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62B" w:rsidRDefault="006F4D93" w:rsidP="00B9062B">
    <w:pPr>
      <w:pStyle w:val="Nagwek"/>
      <w:tabs>
        <w:tab w:val="clear" w:pos="4536"/>
        <w:tab w:val="clear" w:pos="9072"/>
        <w:tab w:val="center" w:pos="1080"/>
        <w:tab w:val="left" w:pos="1440"/>
        <w:tab w:val="right" w:pos="5103"/>
        <w:tab w:val="left" w:pos="10527"/>
      </w:tabs>
      <w:ind w:left="-851" w:right="5526"/>
      <w:rPr>
        <w:rFonts w:ascii="Century Gothic" w:hAnsi="Century Gothic" w:cs="Shruti"/>
        <w:spacing w:val="20"/>
        <w:sz w:val="30"/>
        <w:szCs w:val="30"/>
      </w:rPr>
    </w:pPr>
    <w:r>
      <w:rPr>
        <w:noProof/>
      </w:rPr>
      <w:drawing>
        <wp:anchor distT="0" distB="0" distL="114300" distR="114300" simplePos="0" relativeHeight="251659264" behindDoc="0" locked="0" layoutInCell="1" allowOverlap="1">
          <wp:simplePos x="0" y="0"/>
          <wp:positionH relativeFrom="column">
            <wp:posOffset>621665</wp:posOffset>
          </wp:positionH>
          <wp:positionV relativeFrom="paragraph">
            <wp:posOffset>-42545</wp:posOffset>
          </wp:positionV>
          <wp:extent cx="501015" cy="47688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Shruti"/>
        <w:spacing w:val="20"/>
        <w:sz w:val="30"/>
        <w:szCs w:val="30"/>
      </w:rPr>
      <w:t xml:space="preserve">  </w:t>
    </w:r>
  </w:p>
  <w:p w:rsidR="00B9062B" w:rsidRDefault="00212690" w:rsidP="00B9062B">
    <w:pPr>
      <w:pStyle w:val="Nagwek"/>
      <w:ind w:right="4959"/>
      <w:jc w:val="center"/>
      <w:rPr>
        <w:b/>
      </w:rPr>
    </w:pPr>
  </w:p>
  <w:p w:rsidR="00B9062B" w:rsidRPr="009E7ADE" w:rsidRDefault="00212690" w:rsidP="00B9062B">
    <w:pPr>
      <w:pStyle w:val="Nagwek"/>
      <w:ind w:left="-851" w:right="5526"/>
      <w:jc w:val="center"/>
      <w:rPr>
        <w:b/>
        <w:sz w:val="8"/>
        <w:szCs w:val="8"/>
      </w:rPr>
    </w:pPr>
  </w:p>
  <w:p w:rsidR="00B9062B" w:rsidRPr="00551ABF" w:rsidRDefault="006F4D93" w:rsidP="00B9062B">
    <w:pPr>
      <w:pStyle w:val="Nagwek"/>
      <w:ind w:left="-851" w:right="5526"/>
      <w:jc w:val="center"/>
      <w:rPr>
        <w:b/>
      </w:rPr>
    </w:pPr>
    <w:r w:rsidRPr="00551ABF">
      <w:rPr>
        <w:b/>
      </w:rPr>
      <w:t>KRAJOW</w:t>
    </w:r>
    <w:r>
      <w:rPr>
        <w:b/>
      </w:rPr>
      <w:t>A</w:t>
    </w:r>
    <w:r w:rsidRPr="00551ABF">
      <w:rPr>
        <w:b/>
      </w:rPr>
      <w:t xml:space="preserve"> SZKOŁ</w:t>
    </w:r>
    <w:r>
      <w:rPr>
        <w:b/>
      </w:rPr>
      <w:t>A</w:t>
    </w:r>
  </w:p>
  <w:p w:rsidR="00B9062B" w:rsidRPr="00D021CB" w:rsidRDefault="006F4D93" w:rsidP="00B9062B">
    <w:pPr>
      <w:pStyle w:val="Nagwek"/>
      <w:ind w:left="-851" w:right="5526"/>
      <w:jc w:val="center"/>
      <w:rPr>
        <w:b/>
      </w:rPr>
    </w:pPr>
    <w:r w:rsidRPr="00D021CB">
      <w:rPr>
        <w:b/>
      </w:rPr>
      <w:t>SĄDOWNICTWA I PROKURATURY</w:t>
    </w:r>
  </w:p>
  <w:p w:rsidR="00B9062B" w:rsidRPr="004F17DC" w:rsidRDefault="00212690" w:rsidP="00B9062B">
    <w:pPr>
      <w:pStyle w:val="Nagwek"/>
      <w:tabs>
        <w:tab w:val="clear" w:pos="4536"/>
        <w:tab w:val="center" w:pos="1080"/>
        <w:tab w:val="left" w:pos="1440"/>
        <w:tab w:val="left" w:pos="10527"/>
      </w:tabs>
      <w:rPr>
        <w:rFonts w:ascii="Century Gothic" w:hAnsi="Century Gothic"/>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F2820"/>
    <w:multiLevelType w:val="hybridMultilevel"/>
    <w:tmpl w:val="EDCEB2C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37AB648B"/>
    <w:multiLevelType w:val="hybridMultilevel"/>
    <w:tmpl w:val="21C4C2DA"/>
    <w:lvl w:ilvl="0" w:tplc="BC20A21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2257E5"/>
    <w:multiLevelType w:val="hybridMultilevel"/>
    <w:tmpl w:val="54B64D2C"/>
    <w:lvl w:ilvl="0" w:tplc="A406043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57E64A91"/>
    <w:multiLevelType w:val="hybridMultilevel"/>
    <w:tmpl w:val="6D386FCC"/>
    <w:lvl w:ilvl="0" w:tplc="5712E978">
      <w:start w:val="1"/>
      <w:numFmt w:val="lowerLetter"/>
      <w:lvlText w:val="%1)"/>
      <w:lvlJc w:val="left"/>
      <w:pPr>
        <w:ind w:left="1068" w:hanging="360"/>
      </w:pPr>
      <w:rPr>
        <w:rFonts w:ascii="Times New Roman" w:eastAsia="Times New Roman" w:hAnsi="Times New Roman" w:cs="Times New Roman"/>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59764120"/>
    <w:multiLevelType w:val="hybridMultilevel"/>
    <w:tmpl w:val="68FCF95C"/>
    <w:lvl w:ilvl="0" w:tplc="0DE67B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6614F1"/>
    <w:multiLevelType w:val="hybridMultilevel"/>
    <w:tmpl w:val="D3E0D238"/>
    <w:lvl w:ilvl="0" w:tplc="810E5D68">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78B4655C"/>
    <w:multiLevelType w:val="hybridMultilevel"/>
    <w:tmpl w:val="779E773E"/>
    <w:lvl w:ilvl="0" w:tplc="5D201F26">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7A5015E0"/>
    <w:multiLevelType w:val="hybridMultilevel"/>
    <w:tmpl w:val="3648E840"/>
    <w:lvl w:ilvl="0" w:tplc="939E7A1E">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7DAD1A91"/>
    <w:multiLevelType w:val="hybridMultilevel"/>
    <w:tmpl w:val="B3F658E8"/>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4"/>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D93"/>
    <w:rsid w:val="00094A38"/>
    <w:rsid w:val="00104B41"/>
    <w:rsid w:val="00212690"/>
    <w:rsid w:val="00253B4D"/>
    <w:rsid w:val="00276396"/>
    <w:rsid w:val="0034432E"/>
    <w:rsid w:val="00365D64"/>
    <w:rsid w:val="0040012F"/>
    <w:rsid w:val="00445ACB"/>
    <w:rsid w:val="00486BEA"/>
    <w:rsid w:val="00516434"/>
    <w:rsid w:val="006477DE"/>
    <w:rsid w:val="00657759"/>
    <w:rsid w:val="006F4D93"/>
    <w:rsid w:val="007226BD"/>
    <w:rsid w:val="00847AE6"/>
    <w:rsid w:val="00963C2C"/>
    <w:rsid w:val="00981704"/>
    <w:rsid w:val="00A94BC8"/>
    <w:rsid w:val="00AF3397"/>
    <w:rsid w:val="00B50706"/>
    <w:rsid w:val="00BE0746"/>
    <w:rsid w:val="00C1095D"/>
    <w:rsid w:val="00C1651B"/>
    <w:rsid w:val="00C54591"/>
    <w:rsid w:val="00C62F4F"/>
    <w:rsid w:val="00DA37E3"/>
    <w:rsid w:val="00DB0CBD"/>
    <w:rsid w:val="00DF137F"/>
    <w:rsid w:val="00EA55EA"/>
    <w:rsid w:val="00EE5EFB"/>
    <w:rsid w:val="00F05152"/>
    <w:rsid w:val="00F05C52"/>
    <w:rsid w:val="00FA5333"/>
    <w:rsid w:val="00FC4C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4D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6F4D93"/>
    <w:pPr>
      <w:tabs>
        <w:tab w:val="center" w:pos="4536"/>
        <w:tab w:val="right" w:pos="9072"/>
      </w:tabs>
    </w:pPr>
  </w:style>
  <w:style w:type="character" w:customStyle="1" w:styleId="NagwekZnak">
    <w:name w:val="Nagłówek Znak"/>
    <w:basedOn w:val="Domylnaczcionkaakapitu"/>
    <w:link w:val="Nagwek"/>
    <w:rsid w:val="006F4D93"/>
    <w:rPr>
      <w:rFonts w:ascii="Times New Roman" w:eastAsia="Times New Roman" w:hAnsi="Times New Roman" w:cs="Times New Roman"/>
      <w:sz w:val="24"/>
      <w:szCs w:val="24"/>
      <w:lang w:eastAsia="pl-PL"/>
    </w:rPr>
  </w:style>
  <w:style w:type="paragraph" w:styleId="Stopka">
    <w:name w:val="footer"/>
    <w:basedOn w:val="Normalny"/>
    <w:link w:val="StopkaZnak"/>
    <w:rsid w:val="006F4D93"/>
    <w:pPr>
      <w:tabs>
        <w:tab w:val="center" w:pos="4536"/>
        <w:tab w:val="right" w:pos="9072"/>
      </w:tabs>
      <w:jc w:val="center"/>
    </w:pPr>
    <w:rPr>
      <w:sz w:val="20"/>
      <w:szCs w:val="20"/>
    </w:rPr>
  </w:style>
  <w:style w:type="character" w:customStyle="1" w:styleId="StopkaZnak">
    <w:name w:val="Stopka Znak"/>
    <w:basedOn w:val="Domylnaczcionkaakapitu"/>
    <w:link w:val="Stopka"/>
    <w:rsid w:val="006F4D93"/>
    <w:rPr>
      <w:rFonts w:ascii="Times New Roman" w:eastAsia="Times New Roman" w:hAnsi="Times New Roman" w:cs="Times New Roman"/>
      <w:sz w:val="20"/>
      <w:szCs w:val="20"/>
      <w:lang w:eastAsia="pl-PL"/>
    </w:rPr>
  </w:style>
  <w:style w:type="paragraph" w:customStyle="1" w:styleId="msonormalcxspdrugie">
    <w:name w:val="msonormalcxspdrugie"/>
    <w:basedOn w:val="Normalny"/>
    <w:rsid w:val="006F4D93"/>
    <w:pPr>
      <w:spacing w:before="100" w:beforeAutospacing="1" w:after="100" w:afterAutospacing="1"/>
    </w:pPr>
  </w:style>
  <w:style w:type="paragraph" w:styleId="Zwykytekst">
    <w:name w:val="Plain Text"/>
    <w:basedOn w:val="Normalny"/>
    <w:link w:val="ZwykytekstZnak"/>
    <w:uiPriority w:val="99"/>
    <w:semiHidden/>
    <w:unhideWhenUsed/>
    <w:rsid w:val="006F4D9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semiHidden/>
    <w:rsid w:val="006F4D93"/>
    <w:rPr>
      <w:rFonts w:ascii="Calibri" w:eastAsia="Calibri" w:hAnsi="Calibri" w:cs="Times New Roman"/>
      <w:szCs w:val="21"/>
    </w:rPr>
  </w:style>
  <w:style w:type="paragraph" w:styleId="Akapitzlist">
    <w:name w:val="List Paragraph"/>
    <w:basedOn w:val="Normalny"/>
    <w:uiPriority w:val="34"/>
    <w:qFormat/>
    <w:rsid w:val="00FA5333"/>
    <w:pPr>
      <w:spacing w:after="200" w:line="276" w:lineRule="auto"/>
      <w:ind w:left="720"/>
      <w:contextualSpacing/>
    </w:pPr>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38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5328</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2022-01-19T13:30:00Z</dcterms:created>
  <dcterms:modified xsi:type="dcterms:W3CDTF">2022-01-19T13:30:00Z</dcterms:modified>
</cp:coreProperties>
</file>