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73C7" w14:textId="77777777" w:rsidR="00BF57A5" w:rsidRPr="00896699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79A7A41" w14:textId="77777777" w:rsidR="00BF57A5" w:rsidRPr="00896699" w:rsidRDefault="00BF57A5" w:rsidP="00BF57A5">
      <w:pPr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72B7B8" wp14:editId="2FFED46D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0C4BC" w14:textId="77777777" w:rsidR="00BF57A5" w:rsidRPr="00896699" w:rsidRDefault="00BF57A5" w:rsidP="00BF57A5">
      <w:pPr>
        <w:tabs>
          <w:tab w:val="center" w:pos="4536"/>
          <w:tab w:val="right" w:pos="9072"/>
        </w:tabs>
        <w:spacing w:after="0"/>
        <w:ind w:left="-851" w:right="55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98582E" w14:textId="77777777" w:rsidR="00BF57A5" w:rsidRPr="00896699" w:rsidRDefault="00BF57A5" w:rsidP="00BF57A5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KRAJOWA SZKOŁA</w:t>
      </w:r>
    </w:p>
    <w:p w14:paraId="7C7BCE86" w14:textId="77777777" w:rsidR="00BF57A5" w:rsidRPr="00896699" w:rsidRDefault="00BF57A5" w:rsidP="00BF57A5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SĄDOWNICTWA I PROKURATURY</w:t>
      </w:r>
      <w:r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EE796" w14:textId="77777777" w:rsidR="00BF57A5" w:rsidRPr="00896699" w:rsidRDefault="00BF57A5" w:rsidP="00BF5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14:paraId="34F7378A" w14:textId="77777777" w:rsidR="00BF57A5" w:rsidRPr="00896699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A7F01" w14:textId="73044469" w:rsidR="00BF57A5" w:rsidRPr="00896699" w:rsidRDefault="00421133" w:rsidP="00BF57A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1</w:t>
      </w:r>
      <w:r w:rsidR="00BF57A5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F57A5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</w:t>
      </w:r>
    </w:p>
    <w:p w14:paraId="128702FC" w14:textId="77777777" w:rsidR="00BF57A5" w:rsidRPr="00896699" w:rsidRDefault="00BF57A5" w:rsidP="00BF57A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A4B2C" w14:textId="07C989E9" w:rsidR="00BF57A5" w:rsidRPr="00896699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OAP-II.420.10.</w:t>
      </w:r>
      <w:r w:rsidR="00FC4D25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7AF87353" w14:textId="77777777" w:rsidR="00714D9A" w:rsidRPr="00896699" w:rsidRDefault="00714D9A" w:rsidP="00714D9A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29303C8D" w14:textId="05C15839" w:rsidR="00896699" w:rsidRPr="00896699" w:rsidRDefault="00421133" w:rsidP="0089669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Patroni Koordynatorzy                                                                                              </w:t>
      </w:r>
    </w:p>
    <w:p w14:paraId="3A8FC484" w14:textId="26449828" w:rsidR="00896699" w:rsidRPr="00896699" w:rsidRDefault="00896699" w:rsidP="0089669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oraz Patroni Praktyk    </w:t>
      </w:r>
    </w:p>
    <w:p w14:paraId="5EBAF3ED" w14:textId="77777777" w:rsidR="00BF57A5" w:rsidRPr="00896699" w:rsidRDefault="00BF57A5" w:rsidP="00BF57A5">
      <w:pPr>
        <w:suppressAutoHyphens/>
        <w:spacing w:before="120" w:after="120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52CB0A0" w14:textId="5170A837" w:rsidR="00BF57A5" w:rsidRPr="00896699" w:rsidRDefault="00BF57A5" w:rsidP="00BF57A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Dotyczy praktyk aplikantów aplikacji uzupełniającej prokuratorskiej II rocznika po </w:t>
      </w:r>
      <w:r w:rsidR="0073283F"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zjeździe</w:t>
      </w:r>
    </w:p>
    <w:p w14:paraId="5E80C8AF" w14:textId="77777777" w:rsidR="00BF57A5" w:rsidRPr="00896699" w:rsidRDefault="00BF57A5" w:rsidP="00BF57A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AC64C1" w14:textId="656241B8" w:rsidR="00896699" w:rsidRPr="00896699" w:rsidRDefault="00BF57A5" w:rsidP="00BF57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699">
        <w:rPr>
          <w:rFonts w:ascii="Times New Roman" w:eastAsia="Times New Roman" w:hAnsi="Times New Roman" w:cs="Times New Roman"/>
          <w:sz w:val="24"/>
          <w:szCs w:val="24"/>
        </w:rPr>
        <w:t>W oparciu o § 2, 9 i 10 zarządzenia Dyrektora Krajowej Szkoły Sądownictwa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br/>
        <w:t xml:space="preserve">i Prokuratury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prokuratorskiej, </w:t>
      </w:r>
      <w:r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 wymiarze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9FC442" w14:textId="488766EA" w:rsidR="00BF57A5" w:rsidRPr="00896699" w:rsidRDefault="00BF57A5" w:rsidP="00896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714D9A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23 </w:t>
      </w:r>
      <w:r w:rsidR="00714D9A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roku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dnia w okresie od 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E7101B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283F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3283F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roku</w:t>
      </w:r>
      <w:r w:rsidR="00896699"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 dnia w okresie od 2 do 5 stycznia 2023 roku oraz 1 dnia  w okresie od 9 do 13 stycznia 2023 roku</w:t>
      </w: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t xml:space="preserve">odbywanych w 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</w:rPr>
        <w:t>prokuratorach rejonowych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538D3EB" w14:textId="77777777" w:rsidR="00BF57A5" w:rsidRPr="00896699" w:rsidRDefault="00BF57A5" w:rsidP="00BF57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99">
        <w:rPr>
          <w:rFonts w:ascii="Times New Roman" w:eastAsia="Times New Roman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br/>
        <w:t xml:space="preserve">i znajomości orzecznictwa. Każdorazowo praktyka winna utrwalić wiedzę zdobytą podczas bezpośrednio poprzedzających ją zajęć seminaryjnych w ramach zjazdu. </w:t>
      </w:r>
    </w:p>
    <w:p w14:paraId="7CD6B065" w14:textId="058026D5" w:rsidR="005303B9" w:rsidRPr="00896699" w:rsidRDefault="00BF57A5" w:rsidP="00530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99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3283F" w:rsidRPr="008966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t xml:space="preserve"> zjazdu aplikacji prokuratorskiej, który odbędzie w dniach </w:t>
      </w:r>
      <w:r w:rsidR="00896699" w:rsidRPr="00896699">
        <w:rPr>
          <w:rFonts w:ascii="Times New Roman" w:eastAsia="Times New Roman" w:hAnsi="Times New Roman" w:cs="Times New Roman"/>
          <w:sz w:val="24"/>
          <w:szCs w:val="24"/>
        </w:rPr>
        <w:t>17-18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1133">
        <w:rPr>
          <w:rFonts w:ascii="Times New Roman" w:eastAsia="Times New Roman" w:hAnsi="Times New Roman" w:cs="Times New Roman"/>
          <w:sz w:val="24"/>
          <w:szCs w:val="24"/>
        </w:rPr>
        <w:t xml:space="preserve">grudnia </w:t>
      </w:r>
      <w:r w:rsidRPr="00896699">
        <w:rPr>
          <w:rFonts w:ascii="Times New Roman" w:eastAsia="Times New Roman" w:hAnsi="Times New Roman" w:cs="Times New Roman"/>
          <w:sz w:val="24"/>
          <w:szCs w:val="24"/>
        </w:rPr>
        <w:t>2022 roku, będą następujące zagadnienia:</w:t>
      </w:r>
    </w:p>
    <w:p w14:paraId="50B270AF" w14:textId="5A7DDA82" w:rsidR="00896699" w:rsidRDefault="00896699" w:rsidP="00896699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Metodyka prowadzenia śledztw finansowo – skarbowych;</w:t>
      </w:r>
    </w:p>
    <w:p w14:paraId="2934A2DE" w14:textId="43C7CC0B" w:rsidR="00896699" w:rsidRPr="00896699" w:rsidRDefault="00896699" w:rsidP="0089669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896699">
        <w:rPr>
          <w:rFonts w:ascii="Times New Roman" w:eastAsia="Times New Roman" w:hAnsi="Times New Roman" w:cs="Times New Roman"/>
          <w:sz w:val="24"/>
        </w:rPr>
        <w:t xml:space="preserve">Istota oszustwa podatkowego, podstawowe mechanizmy nadużyć przy rozliczaniu podatku VAT i akcyzowego, pierwsze czynności procesowe, dokumentacja finansowo-księgowa przedsiębiorców, opinia biegłego w sprawach gospodarczych, </w:t>
      </w:r>
      <w:r w:rsidRPr="00896699">
        <w:rPr>
          <w:rFonts w:ascii="Times New Roman" w:eastAsia="Times New Roman" w:hAnsi="Times New Roman" w:cs="Times New Roman"/>
          <w:sz w:val="24"/>
        </w:rPr>
        <w:lastRenderedPageBreak/>
        <w:t>kwalifikacja prawna czynów, decyzje podatkowe i ich rola w postępowaniu karnym i karnym skarbowym, pranie brudnych pieniędzy pochodzących z uszczupleń podatkowych, współpraca z Krajową Administracją Skarbową i Generalnym Inspektorem Informacji Finansowej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6899BCBE" w14:textId="77777777" w:rsidR="00896699" w:rsidRPr="00896699" w:rsidRDefault="00896699" w:rsidP="00896699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Ustawa o postępowaniu w sprawach nieletnich. Podstawowe zagadnienia materialne i procesowe;</w:t>
      </w:r>
    </w:p>
    <w:p w14:paraId="6CEAB6B0" w14:textId="77777777" w:rsidR="00896699" w:rsidRPr="00896699" w:rsidRDefault="00896699" w:rsidP="00896699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Mediacja;</w:t>
      </w:r>
    </w:p>
    <w:p w14:paraId="036F6CD6" w14:textId="77777777" w:rsidR="00896699" w:rsidRPr="00896699" w:rsidRDefault="00896699" w:rsidP="00896699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Prawa ofiary przestępstwa;</w:t>
      </w:r>
    </w:p>
    <w:p w14:paraId="64AEFA9F" w14:textId="77777777" w:rsidR="00896699" w:rsidRPr="00896699" w:rsidRDefault="00896699" w:rsidP="00896699">
      <w:pPr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Repetytoria. Sporządzanie pism procesowych przewidzianych w ramach egzaminu prokuratorskiego;</w:t>
      </w:r>
    </w:p>
    <w:p w14:paraId="27D19E66" w14:textId="77777777" w:rsidR="00896699" w:rsidRPr="00896699" w:rsidRDefault="00896699" w:rsidP="0089669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699">
        <w:rPr>
          <w:rFonts w:ascii="Times New Roman" w:hAnsi="Times New Roman" w:cs="Times New Roman"/>
          <w:b/>
          <w:sz w:val="24"/>
          <w:szCs w:val="24"/>
        </w:rPr>
        <w:t>Celem praktyki jest doskonalenie umiejętności pod kątem egzaminu prokuratorskiego, a w szczególności pisanie projektów apelacji w sprawach karnych.</w:t>
      </w:r>
    </w:p>
    <w:p w14:paraId="2FB67377" w14:textId="77777777" w:rsidR="00896699" w:rsidRPr="00896699" w:rsidRDefault="00896699" w:rsidP="00896699">
      <w:pPr>
        <w:spacing w:before="120" w:after="12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Patroni praktyk oraz patroni koordynatorzy winni zadbać, aby aplikanci mieli w toku praktyki możliwość zapoznania się z przebiegiem postępowania w sprawach administracyjnych, cywilnych i karnych ze szczególnym zwróceniem uwagi na czynności podejmowane przez prokuratora. Ważnym jest, aby umożliwić aplikantom s</w:t>
      </w:r>
      <w:r w:rsidRPr="00896699">
        <w:rPr>
          <w:rFonts w:ascii="Times New Roman" w:eastAsiaTheme="minorEastAsia" w:hAnsi="Times New Roman" w:cs="Times New Roman"/>
          <w:sz w:val="24"/>
          <w:szCs w:val="24"/>
        </w:rPr>
        <w:t>porządzenie projektów pism procesowych przewidzianych w ramach egzaminu prokuratorskiego:</w:t>
      </w:r>
    </w:p>
    <w:p w14:paraId="05786FDB" w14:textId="77777777" w:rsidR="00896699" w:rsidRPr="00896699" w:rsidRDefault="00896699" w:rsidP="00896699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6699">
        <w:rPr>
          <w:rFonts w:ascii="Times New Roman" w:eastAsiaTheme="minorEastAsia" w:hAnsi="Times New Roman" w:cs="Times New Roman"/>
          <w:sz w:val="24"/>
          <w:szCs w:val="24"/>
        </w:rPr>
        <w:t>z zakresu prawa karnego (apelacji od wyroków w sprawach karnych)</w:t>
      </w:r>
    </w:p>
    <w:p w14:paraId="7867CCF1" w14:textId="77777777" w:rsidR="00896699" w:rsidRPr="00896699" w:rsidRDefault="00896699" w:rsidP="00896699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6699">
        <w:rPr>
          <w:rFonts w:ascii="Times New Roman" w:eastAsiaTheme="minorEastAsia" w:hAnsi="Times New Roman" w:cs="Times New Roman"/>
          <w:sz w:val="24"/>
          <w:szCs w:val="24"/>
        </w:rPr>
        <w:t>z zakresu prawa administracyjnego (sprzeciwu i skargi do wojewódzkiego sądu administracyjnego)</w:t>
      </w:r>
    </w:p>
    <w:p w14:paraId="412E3615" w14:textId="77777777" w:rsidR="00896699" w:rsidRPr="00896699" w:rsidRDefault="00896699" w:rsidP="00896699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6699">
        <w:rPr>
          <w:rFonts w:ascii="Times New Roman" w:eastAsiaTheme="minorEastAsia" w:hAnsi="Times New Roman" w:cs="Times New Roman"/>
          <w:sz w:val="24"/>
          <w:szCs w:val="24"/>
        </w:rPr>
        <w:t>z zakresu prawa cywilnego (pozwu i wniosku, w tym z zakresu prawa rodzinnego i opiekuńczego, apelacji od orzeczenia wydanego w sprawie cywilnej)</w:t>
      </w:r>
    </w:p>
    <w:p w14:paraId="24DD9946" w14:textId="77777777" w:rsidR="00896699" w:rsidRPr="00896699" w:rsidRDefault="00896699" w:rsidP="0089669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 w:rsidRPr="008966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96699">
        <w:rPr>
          <w:rFonts w:ascii="Times New Roman" w:hAnsi="Times New Roman" w:cs="Times New Roman"/>
          <w:sz w:val="24"/>
          <w:szCs w:val="24"/>
        </w:rPr>
        <w:t>Celem praktyki jest bowiem nie tylko nauka podejmowania właściwych decyzji procesowych, ale także wykształcenie umiejętności obrony własnego stanowiska w sprawie, w tym stosowania prawidłowej argumentacji.</w:t>
      </w:r>
    </w:p>
    <w:p w14:paraId="644DDD82" w14:textId="77777777" w:rsidR="00896699" w:rsidRPr="00896699" w:rsidRDefault="00896699" w:rsidP="0089669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sz w:val="24"/>
          <w:szCs w:val="24"/>
        </w:rPr>
        <w:lastRenderedPageBreak/>
        <w:t xml:space="preserve">Aplikantom należy umożliwić również pracę nad sprawami, których ich patron nie jest referentem, a także nad sprawami już zakończonymi – tak aby aplikant miał możliwość poznania  szerokiego zakresu zagadnień  objętych egzaminem prokuratorskim. </w:t>
      </w:r>
    </w:p>
    <w:p w14:paraId="7D9DE4E0" w14:textId="77777777" w:rsidR="0073283F" w:rsidRPr="00896699" w:rsidRDefault="0073283F" w:rsidP="00530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756FE" w14:textId="77777777" w:rsidR="005303B9" w:rsidRPr="00896699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Kierownik</w:t>
      </w:r>
    </w:p>
    <w:p w14:paraId="6B912C9B" w14:textId="77777777" w:rsidR="005303B9" w:rsidRPr="00896699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Działu Dydaktycznego OAP</w:t>
      </w:r>
    </w:p>
    <w:p w14:paraId="3B692A73" w14:textId="77777777" w:rsidR="005303B9" w:rsidRPr="00896699" w:rsidRDefault="005303B9" w:rsidP="005303B9">
      <w:pPr>
        <w:suppressAutoHyphens/>
        <w:spacing w:before="120" w:after="120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C8E463C" w14:textId="77777777" w:rsidR="005303B9" w:rsidRPr="00896699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Marta Zin</w:t>
      </w:r>
    </w:p>
    <w:p w14:paraId="5F21793C" w14:textId="5601B498" w:rsidR="00B847AD" w:rsidRPr="00896699" w:rsidRDefault="005303B9" w:rsidP="00EA24CC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66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prokurator</w:t>
      </w:r>
    </w:p>
    <w:sectPr w:rsidR="00B847AD" w:rsidRPr="0089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7B1"/>
    <w:multiLevelType w:val="hybridMultilevel"/>
    <w:tmpl w:val="6B981A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9F0"/>
    <w:multiLevelType w:val="hybridMultilevel"/>
    <w:tmpl w:val="1A6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4F07"/>
    <w:multiLevelType w:val="hybridMultilevel"/>
    <w:tmpl w:val="D4BA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336"/>
    <w:multiLevelType w:val="hybridMultilevel"/>
    <w:tmpl w:val="5EF2E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5140"/>
    <w:multiLevelType w:val="hybridMultilevel"/>
    <w:tmpl w:val="B6569054"/>
    <w:lvl w:ilvl="0" w:tplc="22046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063F"/>
    <w:multiLevelType w:val="hybridMultilevel"/>
    <w:tmpl w:val="159A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09F9"/>
    <w:multiLevelType w:val="hybridMultilevel"/>
    <w:tmpl w:val="E0582720"/>
    <w:lvl w:ilvl="0" w:tplc="92CE6A3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8B3E3B"/>
    <w:multiLevelType w:val="hybridMultilevel"/>
    <w:tmpl w:val="17F69A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5468"/>
    <w:multiLevelType w:val="hybridMultilevel"/>
    <w:tmpl w:val="D1FEBECE"/>
    <w:lvl w:ilvl="0" w:tplc="92AC4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10421"/>
    <w:multiLevelType w:val="hybridMultilevel"/>
    <w:tmpl w:val="0F8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C7468"/>
    <w:multiLevelType w:val="hybridMultilevel"/>
    <w:tmpl w:val="E946C2A8"/>
    <w:lvl w:ilvl="0" w:tplc="93A23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FB7181"/>
    <w:multiLevelType w:val="hybridMultilevel"/>
    <w:tmpl w:val="7F3CA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71461"/>
    <w:multiLevelType w:val="hybridMultilevel"/>
    <w:tmpl w:val="DD746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D178E"/>
    <w:multiLevelType w:val="hybridMultilevel"/>
    <w:tmpl w:val="1CDC693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8C318D8"/>
    <w:multiLevelType w:val="hybridMultilevel"/>
    <w:tmpl w:val="7B6A2C2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2896"/>
    <w:multiLevelType w:val="hybridMultilevel"/>
    <w:tmpl w:val="277E5794"/>
    <w:lvl w:ilvl="0" w:tplc="007853B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6C154D"/>
    <w:multiLevelType w:val="hybridMultilevel"/>
    <w:tmpl w:val="5F20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35"/>
    <w:rsid w:val="000B55C6"/>
    <w:rsid w:val="00346335"/>
    <w:rsid w:val="00421133"/>
    <w:rsid w:val="005303B9"/>
    <w:rsid w:val="00570E97"/>
    <w:rsid w:val="005A009D"/>
    <w:rsid w:val="006023BA"/>
    <w:rsid w:val="00714D9A"/>
    <w:rsid w:val="0073283F"/>
    <w:rsid w:val="00896699"/>
    <w:rsid w:val="00B847AD"/>
    <w:rsid w:val="00BF57A5"/>
    <w:rsid w:val="00CD1C1F"/>
    <w:rsid w:val="00DC66F8"/>
    <w:rsid w:val="00DF2C16"/>
    <w:rsid w:val="00E7101B"/>
    <w:rsid w:val="00EA24CC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77B"/>
  <w15:docId w15:val="{31F61CF3-35A0-4502-A32E-4035AF3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7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Podsiadło</dc:creator>
  <cp:keywords/>
  <dc:description/>
  <cp:lastModifiedBy>Małgorzata Daliniewska</cp:lastModifiedBy>
  <cp:revision>2</cp:revision>
  <dcterms:created xsi:type="dcterms:W3CDTF">2022-06-02T10:40:00Z</dcterms:created>
  <dcterms:modified xsi:type="dcterms:W3CDTF">2022-06-02T10:40:00Z</dcterms:modified>
</cp:coreProperties>
</file>