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C4" w:rsidRPr="00831769" w:rsidRDefault="00015CC4" w:rsidP="00015CC4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1769">
        <w:rPr>
          <w:rFonts w:ascii="Times New Roman" w:hAnsi="Times New Roman" w:cs="Times New Roman"/>
          <w:sz w:val="24"/>
          <w:szCs w:val="24"/>
        </w:rPr>
        <w:t xml:space="preserve">Kraków, </w:t>
      </w:r>
      <w:r w:rsidR="00F669E2">
        <w:rPr>
          <w:rFonts w:ascii="Times New Roman" w:hAnsi="Times New Roman" w:cs="Times New Roman"/>
          <w:sz w:val="24"/>
          <w:szCs w:val="24"/>
        </w:rPr>
        <w:t>12</w:t>
      </w:r>
      <w:r w:rsidR="0051207F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831769">
        <w:rPr>
          <w:rFonts w:ascii="Times New Roman" w:hAnsi="Times New Roman" w:cs="Times New Roman"/>
          <w:sz w:val="24"/>
          <w:szCs w:val="24"/>
        </w:rPr>
        <w:t xml:space="preserve"> 202</w:t>
      </w:r>
      <w:r w:rsidR="0051207F">
        <w:rPr>
          <w:rFonts w:ascii="Times New Roman" w:hAnsi="Times New Roman" w:cs="Times New Roman"/>
          <w:sz w:val="24"/>
          <w:szCs w:val="24"/>
        </w:rPr>
        <w:t>4</w:t>
      </w:r>
      <w:r w:rsidRPr="00831769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15CC4" w:rsidRPr="00831769" w:rsidTr="00136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CC4" w:rsidRPr="00831769" w:rsidRDefault="00015CC4" w:rsidP="0013667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5CC4" w:rsidRPr="00831769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CC4" w:rsidRPr="0051207F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07F">
        <w:rPr>
          <w:rFonts w:ascii="Times New Roman" w:hAnsi="Times New Roman" w:cs="Times New Roman"/>
          <w:sz w:val="24"/>
          <w:szCs w:val="24"/>
          <w:u w:val="single"/>
        </w:rPr>
        <w:t>Zalecenia w sprawie praktyk odbywanych przez aplikantów XIV rocznika aplikacji sędziowskiej po 11 – 16 zjazdach</w:t>
      </w:r>
    </w:p>
    <w:p w:rsidR="00015CC4" w:rsidRPr="0051207F" w:rsidRDefault="00015CC4" w:rsidP="00015CC4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5CC4" w:rsidRPr="00831769" w:rsidRDefault="00015CC4" w:rsidP="00015CC4">
      <w:pPr>
        <w:spacing w:after="12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Do</w:t>
      </w:r>
    </w:p>
    <w:p w:rsidR="00015CC4" w:rsidRPr="00831769" w:rsidRDefault="00015CC4" w:rsidP="00015CC4">
      <w:pPr>
        <w:spacing w:after="12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015CC4" w:rsidRPr="00831769" w:rsidRDefault="00015CC4" w:rsidP="00015CC4">
      <w:pPr>
        <w:spacing w:after="12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015CC4" w:rsidRPr="00831769" w:rsidRDefault="00015CC4" w:rsidP="00015CC4">
      <w:pPr>
        <w:spacing w:after="12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015CC4" w:rsidRPr="00831769" w:rsidRDefault="00015CC4" w:rsidP="00015CC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5CC4" w:rsidRPr="00831769" w:rsidRDefault="00015CC4" w:rsidP="00015CC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 znajomości orzecznictwa. Praktyka winna utrwalać wiedzę zdobytą podczas bezpośrednio poprzedzających ją zajęć seminaryjnych w ramach zjazdu. 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831769">
        <w:rPr>
          <w:rFonts w:ascii="Times New Roman" w:eastAsia="Times New Roman" w:hAnsi="Times New Roman" w:cs="Times New Roman"/>
          <w:b/>
          <w:sz w:val="24"/>
          <w:szCs w:val="24"/>
        </w:rPr>
        <w:t>ma obowiązek</w:t>
      </w: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 omówić z aplikantem cel, szczegółowy zakres tematyczny praktyki i jej planowany przebieg oraz zapoznać aplikanta ze swoim stanowiskiem pracy i strukturą organizacyjną jednostki, w której jest zatrudniony. 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831769">
        <w:rPr>
          <w:rFonts w:ascii="Times New Roman" w:eastAsia="Times New Roman" w:hAnsi="Times New Roman" w:cs="Times New Roman"/>
          <w:b/>
          <w:sz w:val="24"/>
          <w:szCs w:val="24"/>
        </w:rPr>
        <w:t>powinien w pierwszej kolejności</w:t>
      </w: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 powierzać aplikantowi wykonanie czynności określonych </w:t>
      </w:r>
      <w:r w:rsidRPr="00831769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831769">
        <w:rPr>
          <w:rFonts w:ascii="Times New Roman" w:eastAsia="Times New Roman" w:hAnsi="Times New Roman" w:cs="Times New Roman"/>
          <w:sz w:val="24"/>
          <w:szCs w:val="24"/>
          <w:u w:val="single"/>
        </w:rPr>
        <w:t>kontrolować prawidłowość ich wykonania.</w:t>
      </w: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 Niemniej jednak możliwe jest także powierzanie aplikantowi innych niewymienionych w zaleceniach czynności do wykonania –w ramach tematyki zjazdów. 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1769">
        <w:rPr>
          <w:rFonts w:ascii="Times New Roman" w:hAnsi="Times New Roman" w:cs="Times New Roman"/>
          <w:sz w:val="24"/>
          <w:szCs w:val="24"/>
        </w:rPr>
        <w:t>W sytuacji, gdy po zakończeniu praktyki aplikanci będą pisać sprawdzian, patron praktyki winien zwrócić szczególną uwagę na nabycie przez aplikantów umiejętności samodzielnego opracowywania projektów orzeczeń/czynności procesowych będących przedmiotem sprawdzianu.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lastRenderedPageBreak/>
        <w:t>Zaleca się</w:t>
      </w:r>
      <w:r w:rsidRPr="00831769">
        <w:rPr>
          <w:rFonts w:ascii="Times New Roman" w:hAnsi="Times New Roman" w:cs="Times New Roman"/>
          <w:sz w:val="24"/>
          <w:szCs w:val="24"/>
        </w:rPr>
        <w:t xml:space="preserve"> angażowanie aplikanta, który odbył 24 miesiące aplikacji, w czynności, o których mowa w art. 45 § 3 </w:t>
      </w:r>
      <w:r w:rsidRPr="00831769">
        <w:rPr>
          <w:rFonts w:ascii="Times New Roman" w:hAnsi="Times New Roman" w:cs="Times New Roman"/>
          <w:bCs/>
          <w:sz w:val="24"/>
          <w:szCs w:val="24"/>
        </w:rPr>
        <w:t>ustawy z dnia 27 lipca 2001 r. Prawo o ustroju sądów powszechnych.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W przypadku, gdy zrealizowanie czynności zawartych w zaleceniach dotyczących przebiegu danej praktyki okazało się niemożliwe w czasie jej trwania, należy je uzupełnić podczas kolejnych praktyk – tak, aby aplikant po zakończeniu cyklu praktyk w danym wydziale posiadł wszystkie niezbędne umiejętności z zakresu objętego programem wyszczególnionych zjazdów.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69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831769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831769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Pr="0083176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3176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Pr="008317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69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wydziale cywilnym procesowym</w:t>
      </w:r>
    </w:p>
    <w:p w:rsidR="00015CC4" w:rsidRPr="00831769" w:rsidRDefault="00015CC4" w:rsidP="00015CC4">
      <w:pPr>
        <w:pStyle w:val="Akapitzlist"/>
        <w:spacing w:after="120" w:line="36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71"/>
        <w:gridCol w:w="2126"/>
        <w:gridCol w:w="4082"/>
      </w:tblGrid>
      <w:tr w:rsidR="00015CC4" w:rsidRPr="00831769" w:rsidTr="00136673">
        <w:trPr>
          <w:jc w:val="center"/>
        </w:trPr>
        <w:tc>
          <w:tcPr>
            <w:tcW w:w="993" w:type="dxa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71" w:type="dxa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2126" w:type="dxa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082" w:type="dxa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015CC4" w:rsidRPr="00831769" w:rsidTr="00136673">
        <w:trPr>
          <w:jc w:val="center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1" w:type="dxa"/>
            <w:shd w:val="clear" w:color="auto" w:fill="E2EFD9" w:themeFill="accent6" w:themeFillTint="33"/>
            <w:vAlign w:val="center"/>
          </w:tcPr>
          <w:p w:rsidR="00015CC4" w:rsidRPr="00831769" w:rsidRDefault="00E373A7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015CC4" w:rsidRPr="00831769" w:rsidRDefault="00F56B3E" w:rsidP="00136673">
            <w:pPr>
              <w:spacing w:after="120" w:line="36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15CC4" w:rsidRPr="00831769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15CC4" w:rsidRPr="0083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–1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15CC4" w:rsidRPr="00831769">
              <w:rPr>
                <w:rFonts w:ascii="Times New Roman" w:hAnsi="Times New Roman" w:cs="Times New Roman"/>
                <w:bCs/>
                <w:sz w:val="24"/>
                <w:szCs w:val="24"/>
              </w:rPr>
              <w:t>.1.202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 tygodni)</w:t>
            </w:r>
          </w:p>
        </w:tc>
        <w:tc>
          <w:tcPr>
            <w:tcW w:w="4082" w:type="dxa"/>
            <w:shd w:val="clear" w:color="auto" w:fill="E2EFD9" w:themeFill="accent6" w:themeFillTint="33"/>
            <w:vAlign w:val="center"/>
          </w:tcPr>
          <w:p w:rsidR="00015CC4" w:rsidRPr="00831769" w:rsidRDefault="00F56B3E" w:rsidP="0013667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15C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r.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; przygotowanie projektu postanowienia lub zarządzenia; klasyfikacja braków formalnych i fiskalnych pozwu oraz przeszkód procesowych. </w:t>
            </w:r>
          </w:p>
        </w:tc>
      </w:tr>
      <w:tr w:rsidR="00015CC4" w:rsidRPr="00831769" w:rsidTr="00136673">
        <w:trPr>
          <w:jc w:val="center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1" w:type="dxa"/>
            <w:shd w:val="clear" w:color="auto" w:fill="C5E0B3" w:themeFill="accent6" w:themeFillTint="66"/>
            <w:vAlign w:val="center"/>
          </w:tcPr>
          <w:p w:rsidR="00015CC4" w:rsidRPr="00831769" w:rsidRDefault="00063311" w:rsidP="0006331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5r.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praktyka 2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(3 tygodnie)</w:t>
            </w:r>
          </w:p>
        </w:tc>
        <w:tc>
          <w:tcPr>
            <w:tcW w:w="4082" w:type="dxa"/>
            <w:shd w:val="clear" w:color="auto" w:fill="C5E0B3" w:themeFill="accent6" w:themeFillTint="66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015CC4" w:rsidRPr="00831769" w:rsidTr="00136673">
        <w:trPr>
          <w:jc w:val="center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shd w:val="clear" w:color="auto" w:fill="E2EFD9" w:themeFill="accent6" w:themeFillTint="33"/>
            <w:vAlign w:val="center"/>
          </w:tcPr>
          <w:p w:rsidR="00015CC4" w:rsidRPr="00831769" w:rsidRDefault="00015CC4" w:rsidP="0006331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015CC4" w:rsidRPr="00831769" w:rsidRDefault="00063311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(3 tygodnie)</w:t>
            </w:r>
          </w:p>
        </w:tc>
        <w:tc>
          <w:tcPr>
            <w:tcW w:w="4082" w:type="dxa"/>
            <w:shd w:val="clear" w:color="auto" w:fill="E2EFD9" w:themeFill="accent6" w:themeFillTint="33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015CC4" w:rsidRPr="00831769" w:rsidTr="00136673">
        <w:trPr>
          <w:jc w:val="center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  <w:shd w:val="clear" w:color="auto" w:fill="C5E0B3" w:themeFill="accent6" w:themeFillTint="66"/>
            <w:vAlign w:val="center"/>
          </w:tcPr>
          <w:p w:rsidR="00015CC4" w:rsidRPr="00831769" w:rsidRDefault="00015CC4" w:rsidP="0006331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015CC4" w:rsidRPr="00831769" w:rsidRDefault="00063311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(3 tygodnie)</w:t>
            </w:r>
          </w:p>
        </w:tc>
        <w:tc>
          <w:tcPr>
            <w:tcW w:w="4082" w:type="dxa"/>
            <w:shd w:val="clear" w:color="auto" w:fill="C5E0B3" w:themeFill="accent6" w:themeFillTint="66"/>
            <w:vAlign w:val="center"/>
          </w:tcPr>
          <w:p w:rsidR="00015CC4" w:rsidRPr="00831769" w:rsidRDefault="00063311" w:rsidP="0013667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r.: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przygotowanie planu rozprawy</w:t>
            </w:r>
          </w:p>
        </w:tc>
      </w:tr>
      <w:tr w:rsidR="00015CC4" w:rsidRPr="00831769" w:rsidTr="00136673">
        <w:trPr>
          <w:jc w:val="center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1" w:type="dxa"/>
            <w:shd w:val="clear" w:color="auto" w:fill="E2EFD9" w:themeFill="accent6" w:themeFillTint="33"/>
            <w:vAlign w:val="center"/>
          </w:tcPr>
          <w:p w:rsidR="00015CC4" w:rsidRPr="00831769" w:rsidRDefault="00063311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5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015CC4" w:rsidRPr="00831769" w:rsidRDefault="00063311" w:rsidP="0013667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64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3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082" w:type="dxa"/>
            <w:shd w:val="clear" w:color="auto" w:fill="E2EFD9" w:themeFill="accent6" w:themeFillTint="33"/>
            <w:vAlign w:val="center"/>
          </w:tcPr>
          <w:p w:rsidR="00015CC4" w:rsidRPr="00831769" w:rsidRDefault="00063311" w:rsidP="0013667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.05.2024 r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.: przygotowanie projektu wyroku z uzasadnieniem w sprawie o eksmisję lub wynagrodzenie za bezumowne korzystanie z lokalu/nieruchomości lub o uzgodnienie treści księgi wieczystej z rzeczywistym stanem prawnym.</w:t>
            </w:r>
          </w:p>
        </w:tc>
      </w:tr>
      <w:tr w:rsidR="00015CC4" w:rsidRPr="00831769" w:rsidTr="00136673">
        <w:trPr>
          <w:jc w:val="center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71" w:type="dxa"/>
            <w:shd w:val="clear" w:color="auto" w:fill="C5E0B3" w:themeFill="accent6" w:themeFillTint="66"/>
            <w:vAlign w:val="center"/>
          </w:tcPr>
          <w:p w:rsidR="00015CC4" w:rsidRPr="00831769" w:rsidRDefault="00664D42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5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015CC4" w:rsidRPr="00831769" w:rsidRDefault="00664D42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  <w:p w:rsidR="00015CC4" w:rsidRPr="00831769" w:rsidRDefault="00015CC4" w:rsidP="0013667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4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1769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082" w:type="dxa"/>
            <w:shd w:val="clear" w:color="auto" w:fill="C5E0B3" w:themeFill="accent6" w:themeFillTint="66"/>
            <w:vAlign w:val="center"/>
          </w:tcPr>
          <w:p w:rsidR="00015CC4" w:rsidRPr="00831769" w:rsidRDefault="00664D42" w:rsidP="0013667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3.06.202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r.</w:t>
            </w:r>
            <w:r w:rsidR="00015CC4" w:rsidRPr="00831769">
              <w:rPr>
                <w:rFonts w:ascii="Times New Roman" w:hAnsi="Times New Roman" w:cs="Times New Roman"/>
                <w:sz w:val="24"/>
                <w:szCs w:val="24"/>
              </w:rPr>
              <w:t>: przygotowanie projektu dwóch postanowień z uzasadnieniem dotyczących udzielenia zabezpieczenia, wraz ze stosownymi zarządzeniami</w:t>
            </w:r>
          </w:p>
        </w:tc>
      </w:tr>
    </w:tbl>
    <w:p w:rsidR="00015CC4" w:rsidRPr="00831769" w:rsidRDefault="00015CC4" w:rsidP="00015CC4">
      <w:pPr>
        <w:pStyle w:val="Akapitzlist"/>
        <w:spacing w:after="12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5CC4" w:rsidRPr="00831769" w:rsidRDefault="00015CC4" w:rsidP="00015CC4">
      <w:pPr>
        <w:pStyle w:val="Akapitzlist"/>
        <w:spacing w:after="12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69">
        <w:rPr>
          <w:rFonts w:ascii="Times New Roman" w:eastAsia="Times New Roman" w:hAnsi="Times New Roman" w:cs="Times New Roman"/>
          <w:b/>
          <w:sz w:val="24"/>
          <w:szCs w:val="24"/>
        </w:rPr>
        <w:t>Zalecenia dotyczące przebiegu poszczególnych praktyk</w:t>
      </w:r>
    </w:p>
    <w:p w:rsidR="00015CC4" w:rsidRPr="00831769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1"/>
          <w:numId w:val="1"/>
        </w:numPr>
        <w:spacing w:after="12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 xml:space="preserve"> ZALECENIA W SPRAWIE PRAKTYK PO 11 ZJEŹDZIE</w:t>
      </w:r>
    </w:p>
    <w:p w:rsidR="00015CC4" w:rsidRPr="00831769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831769">
        <w:rPr>
          <w:rFonts w:ascii="Times New Roman" w:hAnsi="Times New Roman" w:cs="Times New Roman"/>
          <w:sz w:val="24"/>
          <w:szCs w:val="24"/>
        </w:rPr>
        <w:t>Czynności prawne. Przeszkody procesowe, braki formalne i fiskalne, reprezentacja przed sądem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poświęcić szczególną uwagę zagadnieniem prawa cywilnego, które obejmują:</w:t>
      </w:r>
    </w:p>
    <w:p w:rsidR="00015CC4" w:rsidRPr="00831769" w:rsidRDefault="00015CC4" w:rsidP="00015CC4">
      <w:pPr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oświadczenia woli, wady oświadczenia woli;</w:t>
      </w:r>
    </w:p>
    <w:p w:rsidR="00015CC4" w:rsidRPr="00831769" w:rsidRDefault="00015CC4" w:rsidP="00015CC4">
      <w:pPr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nieważność i bezskuteczność czynności prawnej;</w:t>
      </w:r>
    </w:p>
    <w:p w:rsidR="00015CC4" w:rsidRPr="00831769" w:rsidRDefault="00015CC4" w:rsidP="00015CC4">
      <w:pPr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warunek i termin;</w:t>
      </w:r>
    </w:p>
    <w:p w:rsidR="00015CC4" w:rsidRPr="00831769" w:rsidRDefault="00015CC4" w:rsidP="00015CC4">
      <w:pPr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przedstawicielstwo, ze szczególnym uwzględnieniem pełnomocnictwa.</w:t>
      </w: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poświęcić uwagę przede wszystkim kwestiom obejmującym: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lastRenderedPageBreak/>
        <w:t xml:space="preserve">tryby, rodzaje postępowania cywilnego;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zasady procesu cywilnego, pojęcie sprawy cywilnej, prawo do sądu;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zdolność sądową i procesową oraz postulacyjną,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jurysdykcję i pozostałe przeszkody procesowe;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właściwość sądu;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kontrolę wymogów formalnych i fiskalnych pism procesowych; </w:t>
      </w:r>
    </w:p>
    <w:p w:rsidR="00015CC4" w:rsidRPr="00831769" w:rsidRDefault="00015CC4" w:rsidP="00015CC4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Andale Sans UI" w:hAnsi="Times New Roman" w:cs="Times New Roman"/>
          <w:kern w:val="3"/>
          <w:sz w:val="24"/>
          <w:szCs w:val="24"/>
        </w:rPr>
        <w:t>zaniechanie podejmowania czynności, które ustawa nakazuje podjąć w następstwie wniesienia pozwu, w przypadku oczywistej bezzasadności powództwa (art. 191</w:t>
      </w:r>
      <w:r w:rsidRPr="00831769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</w:rPr>
        <w:t>1</w:t>
      </w:r>
      <w:r w:rsidRPr="00831769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k.p.c.);</w:t>
      </w:r>
    </w:p>
    <w:p w:rsidR="00015CC4" w:rsidRPr="00831769" w:rsidRDefault="00015CC4" w:rsidP="00015CC4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wartość przedmiotu sporu, w tym sprawdzenie wartości przedmiotu sporu przez sąd;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zwolnienie od kosztów sądowych, ustanowienie pełnomocnika z urzędu;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reprezentację stron, w tym reprezentację Skarbu Państwa i jednostek samorządu terytorialnego;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działanie przedstawiciela ustawowego lub kuratora; 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interwencję główną i uboczną;</w:t>
      </w:r>
    </w:p>
    <w:p w:rsidR="00015CC4" w:rsidRPr="00831769" w:rsidRDefault="00015CC4" w:rsidP="00015CC4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udział prokuratora i organizacji pozarządowych w procesie.</w:t>
      </w:r>
    </w:p>
    <w:p w:rsidR="00015CC4" w:rsidRPr="00831769" w:rsidRDefault="00015CC4" w:rsidP="00015CC4">
      <w:pPr>
        <w:pStyle w:val="Akapitzlist"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69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015CC4" w:rsidRPr="00831769" w:rsidRDefault="00015CC4" w:rsidP="00015CC4">
      <w:pPr>
        <w:pStyle w:val="Akapitzlist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sporządzenie co najmniej dwóch projektów wyroków wraz z uzasadnieniem</w:t>
      </w:r>
      <w:r>
        <w:rPr>
          <w:rFonts w:ascii="Times New Roman" w:hAnsi="Times New Roman" w:cs="Times New Roman"/>
          <w:sz w:val="24"/>
          <w:szCs w:val="24"/>
        </w:rPr>
        <w:t xml:space="preserve"> (i zarządzeniami)</w:t>
      </w:r>
      <w:r w:rsidRPr="00831769">
        <w:rPr>
          <w:rFonts w:ascii="Times New Roman" w:hAnsi="Times New Roman" w:cs="Times New Roman"/>
          <w:sz w:val="24"/>
          <w:szCs w:val="24"/>
        </w:rPr>
        <w:t xml:space="preserve"> – z tematyki prawa materialnego wskazanej powyżej (w pkt. 1 - 3);</w:t>
      </w:r>
    </w:p>
    <w:p w:rsidR="00015CC4" w:rsidRPr="00831769" w:rsidRDefault="00015CC4" w:rsidP="00015CC4">
      <w:pPr>
        <w:pStyle w:val="Akapitzlist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 oraz projektów uzasadnień (jeżeli decyzje podlegają uzasadnieniu): </w:t>
      </w:r>
    </w:p>
    <w:p w:rsidR="00015CC4" w:rsidRPr="00831769" w:rsidRDefault="00015CC4" w:rsidP="00015CC4">
      <w:pPr>
        <w:pStyle w:val="Akapitzlist"/>
        <w:numPr>
          <w:ilvl w:val="0"/>
          <w:numId w:val="16"/>
        </w:numPr>
        <w:tabs>
          <w:tab w:val="left" w:pos="407"/>
          <w:tab w:val="left" w:pos="3681"/>
          <w:tab w:val="left" w:pos="4692"/>
        </w:tabs>
        <w:spacing w:after="12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zarządzenia wzywającego do uzupełnienia braków formalnych i fiskalnych pozwu;</w:t>
      </w:r>
    </w:p>
    <w:p w:rsidR="00015CC4" w:rsidRPr="00831769" w:rsidRDefault="00015CC4" w:rsidP="00015CC4">
      <w:pPr>
        <w:pStyle w:val="Akapitzlist"/>
        <w:numPr>
          <w:ilvl w:val="0"/>
          <w:numId w:val="16"/>
        </w:numPr>
        <w:tabs>
          <w:tab w:val="left" w:pos="407"/>
          <w:tab w:val="left" w:pos="3681"/>
          <w:tab w:val="left" w:pos="4692"/>
        </w:tabs>
        <w:spacing w:after="12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zarządzenia wzywającego do uzupełnienia braków wniosku o zwolnienie od kosztów sądowych i ustanowienie pełnomocnika z urzędu; </w:t>
      </w:r>
    </w:p>
    <w:p w:rsidR="00015CC4" w:rsidRPr="00831769" w:rsidRDefault="00015CC4" w:rsidP="00015CC4">
      <w:pPr>
        <w:pStyle w:val="Akapitzlist"/>
        <w:numPr>
          <w:ilvl w:val="0"/>
          <w:numId w:val="16"/>
        </w:numPr>
        <w:tabs>
          <w:tab w:val="left" w:pos="407"/>
          <w:tab w:val="left" w:pos="3681"/>
          <w:tab w:val="left" w:pos="4692"/>
        </w:tabs>
        <w:spacing w:after="12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zarządzenia o zwrocie pozwu;</w:t>
      </w:r>
    </w:p>
    <w:p w:rsidR="00015CC4" w:rsidRPr="00831769" w:rsidRDefault="00015CC4" w:rsidP="00015CC4">
      <w:pPr>
        <w:pStyle w:val="Akapitzlist"/>
        <w:numPr>
          <w:ilvl w:val="0"/>
          <w:numId w:val="16"/>
        </w:numPr>
        <w:tabs>
          <w:tab w:val="left" w:pos="407"/>
          <w:tab w:val="left" w:pos="3681"/>
          <w:tab w:val="left" w:pos="4692"/>
        </w:tabs>
        <w:spacing w:after="12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postanowienia w przedmiocie wniosku o zwolnienie od kosztów sądowych i ustanowienie pełnomocnika procesowego;</w:t>
      </w:r>
    </w:p>
    <w:p w:rsidR="00015CC4" w:rsidRPr="00831769" w:rsidRDefault="00015CC4" w:rsidP="00015CC4">
      <w:pPr>
        <w:pStyle w:val="Akapitzlist"/>
        <w:numPr>
          <w:ilvl w:val="0"/>
          <w:numId w:val="16"/>
        </w:numPr>
        <w:tabs>
          <w:tab w:val="left" w:pos="407"/>
          <w:tab w:val="left" w:pos="3681"/>
          <w:tab w:val="left" w:pos="4692"/>
        </w:tabs>
        <w:spacing w:after="12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lastRenderedPageBreak/>
        <w:t>postanowienia w przedmiocie odrzucenia pozwu;</w:t>
      </w:r>
    </w:p>
    <w:p w:rsidR="00015CC4" w:rsidRPr="00831769" w:rsidRDefault="00015CC4" w:rsidP="00015CC4">
      <w:pPr>
        <w:pStyle w:val="Akapitzlist"/>
        <w:numPr>
          <w:ilvl w:val="0"/>
          <w:numId w:val="16"/>
        </w:numPr>
        <w:tabs>
          <w:tab w:val="left" w:pos="407"/>
          <w:tab w:val="left" w:pos="3681"/>
          <w:tab w:val="left" w:pos="4692"/>
        </w:tabs>
        <w:spacing w:after="120" w:line="36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postanowienia o stwierdzeniu niewłaściwości (miejscowej, rzeczowej) i przekazaniu sprawy sądowi właściwemu;</w:t>
      </w:r>
    </w:p>
    <w:p w:rsidR="00015CC4" w:rsidRPr="00831769" w:rsidRDefault="00015CC4" w:rsidP="00015CC4">
      <w:pPr>
        <w:pStyle w:val="Teksttreci60"/>
        <w:numPr>
          <w:ilvl w:val="0"/>
          <w:numId w:val="16"/>
        </w:numPr>
        <w:shd w:val="clear" w:color="auto" w:fill="auto"/>
        <w:tabs>
          <w:tab w:val="left" w:leader="dot" w:pos="3805"/>
        </w:tabs>
        <w:spacing w:after="120" w:line="360" w:lineRule="auto"/>
        <w:ind w:left="993"/>
        <w:jc w:val="both"/>
        <w:rPr>
          <w:sz w:val="24"/>
          <w:szCs w:val="24"/>
        </w:rPr>
      </w:pPr>
      <w:r w:rsidRPr="00831769">
        <w:rPr>
          <w:sz w:val="24"/>
          <w:szCs w:val="24"/>
        </w:rPr>
        <w:t>postanowienia w przedmiocie wyznaczenia odpowiedniego terminu do uzupełnienia braków w zakresie zdolności sądowej lub procesowej strony bądź w składzie właściwych organów;</w:t>
      </w:r>
    </w:p>
    <w:p w:rsidR="00015CC4" w:rsidRPr="00831769" w:rsidRDefault="00015CC4" w:rsidP="00015CC4">
      <w:pPr>
        <w:pStyle w:val="Teksttreci60"/>
        <w:numPr>
          <w:ilvl w:val="0"/>
          <w:numId w:val="16"/>
        </w:numPr>
        <w:shd w:val="clear" w:color="auto" w:fill="auto"/>
        <w:tabs>
          <w:tab w:val="left" w:leader="dot" w:pos="3805"/>
        </w:tabs>
        <w:spacing w:after="120" w:line="360" w:lineRule="auto"/>
        <w:ind w:left="993"/>
        <w:jc w:val="both"/>
        <w:rPr>
          <w:sz w:val="24"/>
          <w:szCs w:val="24"/>
        </w:rPr>
      </w:pPr>
      <w:r w:rsidRPr="00831769">
        <w:rPr>
          <w:sz w:val="24"/>
          <w:szCs w:val="24"/>
        </w:rPr>
        <w:t>postanowienia o dopuszczeniu tymczasowym do podjęcia naglącej czynności procesowej osoby niemogącej na razie przedstawić pełnomocnictwa;</w:t>
      </w:r>
    </w:p>
    <w:p w:rsidR="00015CC4" w:rsidRPr="00831769" w:rsidRDefault="00015CC4" w:rsidP="00015CC4">
      <w:pPr>
        <w:pStyle w:val="Teksttreci60"/>
        <w:numPr>
          <w:ilvl w:val="0"/>
          <w:numId w:val="16"/>
        </w:numPr>
        <w:shd w:val="clear" w:color="auto" w:fill="auto"/>
        <w:tabs>
          <w:tab w:val="left" w:leader="dot" w:pos="3805"/>
        </w:tabs>
        <w:spacing w:after="120" w:line="360" w:lineRule="auto"/>
        <w:ind w:left="993"/>
        <w:jc w:val="both"/>
        <w:rPr>
          <w:sz w:val="24"/>
          <w:szCs w:val="24"/>
        </w:rPr>
      </w:pPr>
      <w:r w:rsidRPr="00831769">
        <w:rPr>
          <w:sz w:val="24"/>
          <w:szCs w:val="24"/>
        </w:rPr>
        <w:t>postanowienia o sprawdzeniu wartości przedmiotu sporu.</w:t>
      </w:r>
    </w:p>
    <w:p w:rsidR="00015CC4" w:rsidRPr="00831769" w:rsidRDefault="00015CC4" w:rsidP="00015CC4">
      <w:pPr>
        <w:pStyle w:val="Teksttreci60"/>
        <w:shd w:val="clear" w:color="auto" w:fill="auto"/>
        <w:tabs>
          <w:tab w:val="left" w:leader="dot" w:pos="3805"/>
        </w:tabs>
        <w:spacing w:after="120" w:line="360" w:lineRule="auto"/>
        <w:ind w:left="993"/>
        <w:jc w:val="both"/>
        <w:rPr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1"/>
          <w:numId w:val="1"/>
        </w:numPr>
        <w:spacing w:after="12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ZALECENIA W SPRAWIE PRAKTYK PO 12 ZJEŹDZIE</w:t>
      </w: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Przedmiot zjazdu:</w:t>
      </w:r>
      <w:r w:rsidRPr="00831769">
        <w:rPr>
          <w:rFonts w:ascii="Times New Roman" w:hAnsi="Times New Roman" w:cs="Times New Roman"/>
          <w:sz w:val="24"/>
          <w:szCs w:val="24"/>
        </w:rPr>
        <w:t xml:space="preserve"> prawo wekslowe, postępowanie nakazowe, upominawcze, uproszczone, doręczenia transgraniczne</w:t>
      </w: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p w:rsidR="00015CC4" w:rsidRPr="00831769" w:rsidRDefault="00015CC4" w:rsidP="00015CC4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prawo wekslowe, w tym: elementy weksla, odpowiedzialność wekslowa, poręczenie, zagadnienia weksla in blanco, wypełnienie deklaracji wekslowej, przeniesienie praw z weksla, zarzuty, jakie mogą być podniesione przez zobowiązanych z weksla, nieważność weksla, zarzuty co do stosunku podstawowego;  </w:t>
      </w:r>
    </w:p>
    <w:p w:rsidR="00015CC4" w:rsidRPr="00831769" w:rsidRDefault="00015CC4" w:rsidP="00015CC4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przedawnienie i zarzut przedawnienia, zagadnienie wymagalności roszczenia;</w:t>
      </w:r>
    </w:p>
    <w:p w:rsidR="00015CC4" w:rsidRPr="00831769" w:rsidRDefault="00015CC4" w:rsidP="00015CC4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 wielość dłużników i wierzycieli.</w:t>
      </w:r>
    </w:p>
    <w:p w:rsidR="00015CC4" w:rsidRPr="00831769" w:rsidRDefault="00015CC4" w:rsidP="00015CC4">
      <w:pPr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:rsidR="00015CC4" w:rsidRPr="00831769" w:rsidRDefault="00015CC4" w:rsidP="00015CC4">
      <w:pPr>
        <w:numPr>
          <w:ilvl w:val="0"/>
          <w:numId w:val="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przesłanki skierowania sprawy do postępowań odrębnych (nakazowego, upominawczego, uproszczonego), w tym badanie pozwu pod kątem skierowania sprawy do tych postępowań:</w:t>
      </w:r>
    </w:p>
    <w:p w:rsidR="00015CC4" w:rsidRPr="00831769" w:rsidRDefault="00015CC4" w:rsidP="00015CC4">
      <w:pPr>
        <w:numPr>
          <w:ilvl w:val="0"/>
          <w:numId w:val="3"/>
        </w:numPr>
        <w:overflowPunct w:val="0"/>
        <w:spacing w:before="80" w:after="8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83176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przesłanki pozwalające na prowadzenie sprawy w </w:t>
      </w:r>
      <w:r w:rsidRPr="00831769">
        <w:rPr>
          <w:rFonts w:ascii="Times New Roman" w:hAnsi="Times New Roman" w:cs="Times New Roman"/>
          <w:sz w:val="24"/>
          <w:szCs w:val="24"/>
        </w:rPr>
        <w:t>elektronicznym postępowaniu upominawczym;</w:t>
      </w:r>
    </w:p>
    <w:p w:rsidR="00015CC4" w:rsidRPr="00831769" w:rsidRDefault="00015CC4" w:rsidP="00015CC4">
      <w:pPr>
        <w:numPr>
          <w:ilvl w:val="0"/>
          <w:numId w:val="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lastRenderedPageBreak/>
        <w:t>specyfika postępowania nakazowego i upominawczego, w tym: podstawy do wydania nakazu zapłaty w postępowaniu nakazowym i podstawy do wydania nakazu zapłaty w postępowaniu upominawczym (różnice w tym zakresie), dokumenty stanowiące podstawę wydania nakazu zapłaty (w szczególności weksel), nakaz zapłaty w postępowaniu nakazowym jako tytuł zabezpieczenia, prawidłowe doręczenie nakazu zapłaty i środki obrony pozwanego w razie nieprawidłowego doręczenia, wniosek o wstrzymanie wykonalności nakazu zapłaty, zarzuty od nakazu zapłaty w postępowaniu nakazowym oraz sprzeciw od nakazu w postępowaniu upominawczym – sposób i termin ich wniesienia, postępowanie sądowe po wniesieniu zarzutów lub sprzeciwu i rozstrzygnięcie sądu w tym zakresie, zakres zarzutów, ciężar dowodu, koszty postępowania;</w:t>
      </w:r>
    </w:p>
    <w:p w:rsidR="00015CC4" w:rsidRPr="00831769" w:rsidRDefault="00015CC4" w:rsidP="00015CC4">
      <w:pPr>
        <w:numPr>
          <w:ilvl w:val="0"/>
          <w:numId w:val="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specyfika postępowania uproszczonego: rodzaje spraw rozpoznawanych w tym postępowaniu, kumulacja i rozdrobnienie roszczeń w postępowaniu uproszczonym, postępowanie dowodowe, warunki wniesienia powództwa wzajemnego oraz podniesienia zarzutu potrącenia, postępowanie apelacyjne w postępowaniu uproszczonym – jego odmienność.</w:t>
      </w:r>
    </w:p>
    <w:p w:rsidR="00015CC4" w:rsidRPr="00831769" w:rsidRDefault="00015CC4" w:rsidP="00015CC4">
      <w:pPr>
        <w:spacing w:before="80" w:after="8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69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015CC4" w:rsidRPr="00831769" w:rsidRDefault="00015CC4" w:rsidP="00015CC4">
      <w:pPr>
        <w:pStyle w:val="Akapitzlist"/>
        <w:numPr>
          <w:ilvl w:val="0"/>
          <w:numId w:val="1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sporządzenie co najmniej dwóch projektów </w:t>
      </w:r>
      <w:r w:rsidRPr="00831769">
        <w:rPr>
          <w:rFonts w:ascii="Times New Roman" w:hAnsi="Times New Roman" w:cs="Times New Roman"/>
          <w:sz w:val="24"/>
          <w:szCs w:val="24"/>
          <w:lang w:val="pl"/>
        </w:rPr>
        <w:t>wyroku wraz z rozstrzygnięciem o kosztach postępowania i uzasadnieniem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 zarządzeniami)</w:t>
      </w:r>
      <w:r w:rsidRPr="00831769">
        <w:rPr>
          <w:rFonts w:ascii="Times New Roman" w:hAnsi="Times New Roman" w:cs="Times New Roman"/>
          <w:sz w:val="24"/>
          <w:szCs w:val="24"/>
          <w:lang w:val="pl"/>
        </w:rPr>
        <w:t>:</w:t>
      </w:r>
    </w:p>
    <w:p w:rsidR="00015CC4" w:rsidRPr="00831769" w:rsidRDefault="00015CC4" w:rsidP="00015CC4">
      <w:pPr>
        <w:pStyle w:val="Akapitzlist"/>
        <w:numPr>
          <w:ilvl w:val="0"/>
          <w:numId w:val="22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  <w:lang w:val="pl"/>
        </w:rPr>
        <w:t>po rozpoznaniu zarzutów od nakazu zapłaty w postępowaniu nakazowym;</w:t>
      </w:r>
    </w:p>
    <w:p w:rsidR="00015CC4" w:rsidRPr="00831769" w:rsidRDefault="00015CC4" w:rsidP="00015CC4">
      <w:pPr>
        <w:pStyle w:val="Akapitzlist"/>
        <w:numPr>
          <w:ilvl w:val="0"/>
          <w:numId w:val="22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  <w:lang w:val="pl"/>
        </w:rPr>
        <w:t>po wniesieniu</w:t>
      </w:r>
      <w:r w:rsidRPr="00831769">
        <w:rPr>
          <w:rFonts w:ascii="Times New Roman" w:hAnsi="Times New Roman" w:cs="Times New Roman"/>
          <w:color w:val="FF0000"/>
          <w:sz w:val="24"/>
          <w:szCs w:val="24"/>
          <w:lang w:val="pl"/>
        </w:rPr>
        <w:t xml:space="preserve"> </w:t>
      </w:r>
      <w:r w:rsidRPr="00831769">
        <w:rPr>
          <w:rFonts w:ascii="Times New Roman" w:hAnsi="Times New Roman" w:cs="Times New Roman"/>
          <w:sz w:val="24"/>
          <w:szCs w:val="24"/>
          <w:lang w:val="pl"/>
        </w:rPr>
        <w:t>sprzeciwu od nakazu zapłaty w postępowaniu upominawczym;</w:t>
      </w:r>
    </w:p>
    <w:p w:rsidR="00015CC4" w:rsidRPr="00831769" w:rsidRDefault="00015CC4" w:rsidP="00015CC4">
      <w:pPr>
        <w:pStyle w:val="Akapitzlist"/>
        <w:numPr>
          <w:ilvl w:val="0"/>
          <w:numId w:val="1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 oraz projektów uzasadnień (jeżeli podlegają uzasadnieniu): </w:t>
      </w:r>
    </w:p>
    <w:p w:rsidR="00015CC4" w:rsidRPr="00831769" w:rsidRDefault="00015CC4" w:rsidP="00015CC4">
      <w:pPr>
        <w:pStyle w:val="Akapitzlist"/>
        <w:numPr>
          <w:ilvl w:val="0"/>
          <w:numId w:val="18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zarządzenia wzywającego do uzupełnienia braków formalnych i fiskalnych pozwu w postępowaniu nakazowym, upominawczym i uproszczonym; </w:t>
      </w:r>
    </w:p>
    <w:p w:rsidR="00015CC4" w:rsidRPr="00831769" w:rsidRDefault="00015CC4" w:rsidP="00015CC4">
      <w:pPr>
        <w:pStyle w:val="Akapitzlist"/>
        <w:numPr>
          <w:ilvl w:val="0"/>
          <w:numId w:val="18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nakazu zapłaty w postępowaniu nakazowym i upominawczym wraz z zarządzeniami do wydanych nakazów zapłaty;</w:t>
      </w:r>
    </w:p>
    <w:p w:rsidR="00015CC4" w:rsidRPr="00831769" w:rsidRDefault="00015CC4" w:rsidP="00015CC4">
      <w:pPr>
        <w:pStyle w:val="Akapitzlist"/>
        <w:numPr>
          <w:ilvl w:val="0"/>
          <w:numId w:val="18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decyzji w zakresie braku podstaw do rozpoznania sprawy w postępowaniu nakazowym, upominawczym i uproszczonym, w tym przekazania sprawy do odrębnego trybu;</w:t>
      </w:r>
    </w:p>
    <w:p w:rsidR="00015CC4" w:rsidRPr="00831769" w:rsidRDefault="00015CC4" w:rsidP="00015CC4">
      <w:pPr>
        <w:pStyle w:val="Akapitzlist"/>
        <w:numPr>
          <w:ilvl w:val="0"/>
          <w:numId w:val="18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lastRenderedPageBreak/>
        <w:t>zarządzeń wydawanych po wniesieniu zarzutów od nakazu zapłaty w postępowaniu nakazowym i sprzeciwu od nakazu zapłaty w postępowaniu upominawczym;</w:t>
      </w:r>
    </w:p>
    <w:p w:rsidR="00015CC4" w:rsidRPr="00831769" w:rsidRDefault="00015CC4" w:rsidP="00015CC4">
      <w:pPr>
        <w:pStyle w:val="Akapitzlist"/>
        <w:numPr>
          <w:ilvl w:val="0"/>
          <w:numId w:val="18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postanowienia o wstrzymaniu wykonalności nakazu zapłaty w postępowaniu nakazowym;</w:t>
      </w:r>
    </w:p>
    <w:p w:rsidR="00015CC4" w:rsidRDefault="00015CC4" w:rsidP="00015CC4">
      <w:pPr>
        <w:pStyle w:val="Akapitzlist"/>
        <w:numPr>
          <w:ilvl w:val="0"/>
          <w:numId w:val="18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postanowienia w przedmiocie odrzucenia sprzeciwu lub zarzutów od nakazu zapłaty wraz z uzasadnieniem.</w:t>
      </w:r>
    </w:p>
    <w:p w:rsidR="00015CC4" w:rsidRPr="00831769" w:rsidRDefault="00015CC4" w:rsidP="00015CC4">
      <w:pPr>
        <w:pStyle w:val="Akapitzlist"/>
        <w:spacing w:before="80" w:after="80" w:line="36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1"/>
          <w:numId w:val="1"/>
        </w:numPr>
        <w:spacing w:after="12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ZALECENIA W SPRAWIE PRAKTYK PO 13 ZJEŹDZIE</w:t>
      </w:r>
    </w:p>
    <w:p w:rsidR="00015CC4" w:rsidRPr="00831769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831769">
        <w:rPr>
          <w:rFonts w:ascii="Times New Roman" w:hAnsi="Times New Roman" w:cs="Times New Roman"/>
          <w:sz w:val="24"/>
          <w:szCs w:val="24"/>
        </w:rPr>
        <w:t>zobowiązania. czynności po skutecznym wniesieniu pozwu, postępowanie dowodowe.</w:t>
      </w:r>
    </w:p>
    <w:p w:rsidR="00015CC4" w:rsidRPr="00831769" w:rsidRDefault="00015CC4" w:rsidP="00015CC4">
      <w:pPr>
        <w:spacing w:before="80" w:after="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eastAsia="Calibri" w:hAnsi="Times New Roman" w:cs="Times New Roman"/>
          <w:b/>
          <w:sz w:val="24"/>
          <w:szCs w:val="24"/>
        </w:rPr>
        <w:t>prawa materialnego</w:t>
      </w: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 należy szczególną uwagę poświęcić następującym zagadnieniom: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wykonanie, niewykonanie oraz nienależyte wykonanie zobowiązania, zwłoka wierzyciela i dłużnika;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odstąpienie od umowy, umowne prawa odstąpienia, odstępne, kara umowna, odsetki za opóźnienie, zakaz anatocyzmu, zadatek;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prawidłowa kwalifikacja umów; 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szczegółowe zagadnienia powstające na gruncie umowy o dzieło, umowy zlecenia; </w:t>
      </w:r>
    </w:p>
    <w:p w:rsidR="00015CC4" w:rsidRPr="00831769" w:rsidRDefault="00015CC4" w:rsidP="00015CC4">
      <w:pPr>
        <w:pStyle w:val="Akapitzlist"/>
        <w:numPr>
          <w:ilvl w:val="0"/>
          <w:numId w:val="2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bezskuteczność czynności prawnej, w tym instytucja  z art. 59 k.c. i skarga pauliańska;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pojęcie szkody – na tle odpowiedzialności kontraktowej, zasady ustalania wysokości szkody; związek przyczynowy – na tle odpowiedzialności kontraktowej; pojęcie przyczynowości alternatywnej, hipotetycznej;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przyczynienie się poszkodowanego do powstania szkody – na tle odpowiedzialności kontraktowej; sposób naprawienia szkody;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przedawnienie roszczeń a terminy zawite;</w:t>
      </w:r>
    </w:p>
    <w:p w:rsidR="00015CC4" w:rsidRPr="00831769" w:rsidRDefault="00015CC4" w:rsidP="00015CC4">
      <w:pPr>
        <w:numPr>
          <w:ilvl w:val="0"/>
          <w:numId w:val="26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potrącenie (zarzut materialnoprawny a procesowy).</w:t>
      </w: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eastAsia="Calibri" w:hAnsi="Times New Roman" w:cs="Times New Roman"/>
          <w:b/>
          <w:sz w:val="24"/>
          <w:szCs w:val="24"/>
        </w:rPr>
        <w:t>prawa procesowego</w:t>
      </w: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 należy poświęcić uwagę przede wszystkim zagadnieniom obejmującym: </w:t>
      </w:r>
    </w:p>
    <w:p w:rsidR="00015CC4" w:rsidRPr="00831769" w:rsidRDefault="00015CC4" w:rsidP="00015CC4">
      <w:pPr>
        <w:pStyle w:val="Akapitzlist"/>
        <w:numPr>
          <w:ilvl w:val="0"/>
          <w:numId w:val="23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wymianę pism procesowych lub wyznaczenie posiedzenia przygotowawczego, pouczenia procesowe;</w:t>
      </w:r>
    </w:p>
    <w:p w:rsidR="00015CC4" w:rsidRPr="00831769" w:rsidRDefault="00015CC4" w:rsidP="00015CC4">
      <w:pPr>
        <w:numPr>
          <w:ilvl w:val="0"/>
          <w:numId w:val="23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wydawanie zarządzeń na podstawie art. 208 k.p.c. oraz innych zarządzeń dowodowych przed wyznaczeniem rozprawy;</w:t>
      </w:r>
    </w:p>
    <w:p w:rsidR="00015CC4" w:rsidRPr="00831769" w:rsidRDefault="00015CC4" w:rsidP="00015CC4">
      <w:pPr>
        <w:numPr>
          <w:ilvl w:val="0"/>
          <w:numId w:val="23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co do zakresu i potrzeby prowadzenia postępowania dowodowego (art. 227 k.p.c., art. 235</w:t>
      </w:r>
      <w:r w:rsidRPr="008317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k.p.c., art. 236 k.p.c. i art. 243</w:t>
      </w:r>
      <w:r w:rsidRPr="008317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k.p.c.), formułowanie postanowień dowodowych (w szczególności pominięcie dowodu); </w:t>
      </w:r>
    </w:p>
    <w:p w:rsidR="00015CC4" w:rsidRPr="00831769" w:rsidRDefault="00015CC4" w:rsidP="00015CC4">
      <w:pPr>
        <w:numPr>
          <w:ilvl w:val="0"/>
          <w:numId w:val="23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przesłuchania świadków i stron; prekluzję dowodową;</w:t>
      </w:r>
    </w:p>
    <w:p w:rsidR="00015CC4" w:rsidRPr="00831769" w:rsidRDefault="00015CC4" w:rsidP="00015CC4">
      <w:pPr>
        <w:numPr>
          <w:ilvl w:val="0"/>
          <w:numId w:val="23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sądową w sprawach cywilnych; odezwy sądowe; przesłuchanie na piśmie.</w:t>
      </w:r>
    </w:p>
    <w:p w:rsidR="00015CC4" w:rsidRPr="00831769" w:rsidRDefault="00015CC4" w:rsidP="00015CC4">
      <w:pPr>
        <w:spacing w:before="80"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769">
        <w:rPr>
          <w:rFonts w:ascii="Times New Roman" w:eastAsia="Calibri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015CC4" w:rsidRPr="00831769" w:rsidRDefault="00015CC4" w:rsidP="00015CC4">
      <w:pPr>
        <w:numPr>
          <w:ilvl w:val="0"/>
          <w:numId w:val="24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sporządzenie co najmniej trzech różnych projektów wyroków wraz z uzasadnieniem </w:t>
      </w:r>
      <w:r>
        <w:rPr>
          <w:rFonts w:ascii="Times New Roman" w:hAnsi="Times New Roman" w:cs="Times New Roman"/>
          <w:sz w:val="24"/>
          <w:szCs w:val="24"/>
        </w:rPr>
        <w:t xml:space="preserve">(i zarządzeniami) </w:t>
      </w:r>
      <w:r w:rsidRPr="00831769">
        <w:rPr>
          <w:rFonts w:ascii="Times New Roman" w:eastAsia="Calibri" w:hAnsi="Times New Roman" w:cs="Times New Roman"/>
          <w:sz w:val="24"/>
          <w:szCs w:val="24"/>
        </w:rPr>
        <w:t>z tematyki prawa materialnego wskazanej powyżej;</w:t>
      </w:r>
    </w:p>
    <w:p w:rsidR="00015CC4" w:rsidRPr="00831769" w:rsidRDefault="00015CC4" w:rsidP="00015CC4">
      <w:pPr>
        <w:numPr>
          <w:ilvl w:val="0"/>
          <w:numId w:val="24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sporządzenie projektów następujących decyzji procesowych oraz projektów uzasadnień (w przypadku jeżeli podlegają uzasadnieniu): </w:t>
      </w:r>
    </w:p>
    <w:p w:rsidR="00015CC4" w:rsidRPr="00831769" w:rsidRDefault="00015CC4" w:rsidP="00015CC4">
      <w:pPr>
        <w:numPr>
          <w:ilvl w:val="0"/>
          <w:numId w:val="25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zarządzenia o wymianie przez strony pism procesowych, z oznaczeniem porządku składania pism, terminów, w których pisma należy złożyć, i okoliczności, które mają być wyjaśnione;</w:t>
      </w:r>
    </w:p>
    <w:p w:rsidR="00015CC4" w:rsidRPr="00831769" w:rsidRDefault="00015CC4" w:rsidP="00015CC4">
      <w:pPr>
        <w:numPr>
          <w:ilvl w:val="0"/>
          <w:numId w:val="25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zarządzenia o wyznaczeniu posiedzenia przygotowawczego; </w:t>
      </w:r>
    </w:p>
    <w:p w:rsidR="00015CC4" w:rsidRPr="00831769" w:rsidRDefault="00015CC4" w:rsidP="00015CC4">
      <w:pPr>
        <w:numPr>
          <w:ilvl w:val="0"/>
          <w:numId w:val="25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zarządzenia wydawanego w celu przygotowania rozprawy w sprawach z tematyki objętej zjazdem;</w:t>
      </w:r>
    </w:p>
    <w:p w:rsidR="00015CC4" w:rsidRPr="00831769" w:rsidRDefault="00015CC4" w:rsidP="00015CC4">
      <w:pPr>
        <w:pStyle w:val="Akapitzlist"/>
        <w:numPr>
          <w:ilvl w:val="0"/>
          <w:numId w:val="25"/>
        </w:numPr>
        <w:tabs>
          <w:tab w:val="left" w:pos="993"/>
        </w:tabs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zarządzeń z 208 k.p.c. oraz innych zarządzeń dowodowych przed wyznaczeniem rozprawy</w:t>
      </w:r>
      <w:r w:rsidRPr="008317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5CC4" w:rsidRPr="00831769" w:rsidRDefault="00015CC4" w:rsidP="00015CC4">
      <w:pPr>
        <w:pStyle w:val="Akapitzlist"/>
        <w:numPr>
          <w:ilvl w:val="0"/>
          <w:numId w:val="25"/>
        </w:numPr>
        <w:tabs>
          <w:tab w:val="left" w:pos="993"/>
        </w:tabs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postanowień wydawanych w oparciu o art. 235</w:t>
      </w:r>
      <w:r w:rsidRPr="008317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 k.p.c., art. 236 k.p.c. i art. 243</w:t>
      </w:r>
      <w:r w:rsidRPr="008317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 k.p.c., w szczególności co do pominięcia dowodu;</w:t>
      </w:r>
    </w:p>
    <w:p w:rsidR="00015CC4" w:rsidRPr="00831769" w:rsidRDefault="00015CC4" w:rsidP="00015CC4">
      <w:pPr>
        <w:pStyle w:val="Akapitzlist"/>
        <w:numPr>
          <w:ilvl w:val="0"/>
          <w:numId w:val="25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odezwy o udzielenie pomocy sądowej (</w:t>
      </w:r>
      <w:r w:rsidRPr="00831769">
        <w:rPr>
          <w:rFonts w:ascii="Times New Roman" w:eastAsia="Calibri" w:hAnsi="Times New Roman" w:cs="Times New Roman"/>
          <w:sz w:val="24"/>
          <w:szCs w:val="24"/>
        </w:rPr>
        <w:t>doręczenie pism sądowych,</w:t>
      </w:r>
      <w:r w:rsidRPr="00831769">
        <w:rPr>
          <w:rFonts w:ascii="Times New Roman" w:hAnsi="Times New Roman" w:cs="Times New Roman"/>
          <w:sz w:val="24"/>
          <w:szCs w:val="24"/>
        </w:rPr>
        <w:t xml:space="preserve"> przesłuchanie świadka, strony, ewentualnie przeprowadzenie innych dowodów)</w:t>
      </w: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5CC4" w:rsidRDefault="00015CC4" w:rsidP="00015CC4">
      <w:pPr>
        <w:pStyle w:val="Akapitzlist"/>
        <w:spacing w:before="80" w:after="8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pStyle w:val="Akapitzlist"/>
        <w:spacing w:before="80" w:after="8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1"/>
          <w:numId w:val="1"/>
        </w:numPr>
        <w:spacing w:after="12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 xml:space="preserve"> ZALECENIA W SPRAWIE PRAKTYK PO 14 ZJEŹDZIE</w:t>
      </w:r>
    </w:p>
    <w:p w:rsidR="00015CC4" w:rsidRPr="00831769" w:rsidRDefault="00015CC4" w:rsidP="00015CC4">
      <w:pPr>
        <w:pStyle w:val="Teksttreci60"/>
        <w:tabs>
          <w:tab w:val="left" w:leader="dot" w:pos="3805"/>
        </w:tabs>
        <w:spacing w:after="120" w:line="360" w:lineRule="auto"/>
        <w:ind w:left="426" w:firstLine="708"/>
        <w:jc w:val="both"/>
        <w:rPr>
          <w:sz w:val="24"/>
          <w:szCs w:val="24"/>
        </w:rPr>
      </w:pPr>
      <w:r w:rsidRPr="00831769">
        <w:rPr>
          <w:b/>
          <w:sz w:val="24"/>
          <w:szCs w:val="24"/>
        </w:rPr>
        <w:t>Przedmiot zjazdu:</w:t>
      </w:r>
      <w:r w:rsidRPr="00831769">
        <w:rPr>
          <w:sz w:val="24"/>
          <w:szCs w:val="24"/>
        </w:rPr>
        <w:t xml:space="preserve"> umowy, ochrona konsumenta, plan rozprawy, pomoc sądowa z elementem transgranicznym</w:t>
      </w:r>
    </w:p>
    <w:p w:rsidR="00015CC4" w:rsidRPr="00831769" w:rsidRDefault="00015CC4" w:rsidP="00015CC4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lastRenderedPageBreak/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istotne umowy i skutek ich braku;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ubezpieczenia (ubezpieczenia majątkowe – przedmiot ubezpieczenia, zasady odpowiedzialności ubezpieczyciela, ubezpieczenia obowiązkowe – OC posiadaczy pojazdów, OC rolników, regres ubezpieczyciela, ubezpieczenia osobowe, tzw. polisolokaty);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umowa pożyczki (elementy istotne umowy, pożyczka a użyczenie);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 udziałem konsumentów (pojęcie konsumenta, ochrona konsumenta, uprawnienia konsumenta z tytułu rękojmi, kredyt konsumencki, ochrona konsumentów w prawie unijnym, prawidłowa kwalifikacja umów);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klauzule abuzywne, skutki stwierdzenia abuzywności klauzuli dla dalszego funkcjonowania umowy;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przedawnienie roszczeń przysługujących przeciwko konsumentowi, zawieszenie i przerwanie biegu przedawnienia;</w:t>
      </w:r>
    </w:p>
    <w:p w:rsidR="00015CC4" w:rsidRPr="00831769" w:rsidRDefault="00015CC4" w:rsidP="00015CC4">
      <w:pPr>
        <w:numPr>
          <w:ilvl w:val="0"/>
          <w:numId w:val="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 wynikające z ustawy o imprezach turystycznych i powiązanych usługach turystycznych np. odpowiedzialność organizatora turystyki za tzw. zmarnowany urlop.</w:t>
      </w:r>
    </w:p>
    <w:p w:rsidR="00015CC4" w:rsidRPr="00831769" w:rsidRDefault="00015CC4" w:rsidP="00015CC4">
      <w:pPr>
        <w:pStyle w:val="Akapitzlist"/>
        <w:spacing w:before="80" w:after="8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:rsidR="00015CC4" w:rsidRPr="00831769" w:rsidRDefault="00015CC4" w:rsidP="00015CC4">
      <w:pPr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posiedzenia przygotowawczego;</w:t>
      </w:r>
    </w:p>
    <w:p w:rsidR="00015CC4" w:rsidRPr="00831769" w:rsidRDefault="00015CC4" w:rsidP="00015CC4">
      <w:pPr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planu rozprawy i jego zmiana, zatwierdzanie planu rozprawy;</w:t>
      </w:r>
    </w:p>
    <w:p w:rsidR="00015CC4" w:rsidRDefault="00015CC4" w:rsidP="00015CC4">
      <w:pPr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co do zakresu i potrzeby prowadzenia postępowania dowodowego (art. 227 k.p.c., art. 235</w:t>
      </w:r>
      <w:r w:rsidRPr="008317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 i art. 236 k.p.c.), zakreślanie ram postępowania dowodowego w planie rozprawy;</w:t>
      </w:r>
    </w:p>
    <w:p w:rsidR="00F669E2" w:rsidRPr="00F669E2" w:rsidRDefault="00F669E2" w:rsidP="00F669E2">
      <w:pPr>
        <w:numPr>
          <w:ilvl w:val="0"/>
          <w:numId w:val="6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i obowiązki sądu wezwanego do przeprowadzenia dowodu; udzielanie pomocy transgranicznej w przeprowadzaniu dowodów w sprawach cywilnych; umiejętność redagowania odezw sądowych mających na celu przesłuchanie świadka, strony, </w:t>
      </w:r>
      <w:r w:rsidRPr="00F669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ewentualnie przeprowadzenie innych dowodów w krajach UE i poza UE; umiejętność udzielania pomocy sądowej sądom krajowym i europejskim oraz spoza Unii Europejskiej;</w:t>
      </w:r>
    </w:p>
    <w:p w:rsidR="00015CC4" w:rsidRPr="00831769" w:rsidRDefault="00015CC4" w:rsidP="00015CC4">
      <w:pPr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domniemania faktyczne i prawne, rozkład ciężaru dowodowego;</w:t>
      </w:r>
    </w:p>
    <w:p w:rsidR="00015CC4" w:rsidRPr="00831769" w:rsidRDefault="00015CC4" w:rsidP="00015CC4">
      <w:pPr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przebiegiem posiedzenia, stosowanie kar porządkowych.   </w:t>
      </w: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69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015CC4" w:rsidRPr="00831769" w:rsidRDefault="00015CC4" w:rsidP="00F669E2">
      <w:pPr>
        <w:pStyle w:val="Akapitzlist"/>
        <w:numPr>
          <w:ilvl w:val="0"/>
          <w:numId w:val="27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831769">
        <w:rPr>
          <w:rFonts w:ascii="Times New Roman" w:hAnsi="Times New Roman" w:cs="Times New Roman"/>
          <w:sz w:val="24"/>
          <w:szCs w:val="24"/>
        </w:rPr>
        <w:t xml:space="preserve"> co najmniej </w:t>
      </w:r>
      <w:r>
        <w:rPr>
          <w:rFonts w:ascii="Times New Roman" w:hAnsi="Times New Roman" w:cs="Times New Roman"/>
          <w:sz w:val="24"/>
          <w:szCs w:val="24"/>
        </w:rPr>
        <w:t>trzech</w:t>
      </w:r>
      <w:r w:rsidRPr="00831769">
        <w:rPr>
          <w:rFonts w:ascii="Times New Roman" w:hAnsi="Times New Roman" w:cs="Times New Roman"/>
          <w:sz w:val="24"/>
          <w:szCs w:val="24"/>
        </w:rPr>
        <w:t xml:space="preserve"> różnych projektów wyroków wraz z uzasadnieniem</w:t>
      </w:r>
      <w:r>
        <w:rPr>
          <w:rFonts w:ascii="Times New Roman" w:hAnsi="Times New Roman" w:cs="Times New Roman"/>
          <w:sz w:val="24"/>
          <w:szCs w:val="24"/>
        </w:rPr>
        <w:t xml:space="preserve"> (i zarządzeniami)</w:t>
      </w:r>
      <w:r w:rsidRPr="00831769">
        <w:rPr>
          <w:rFonts w:ascii="Times New Roman" w:hAnsi="Times New Roman" w:cs="Times New Roman"/>
          <w:sz w:val="24"/>
          <w:szCs w:val="24"/>
        </w:rPr>
        <w:t>, z tematyki prawa materialnego wskazanej powyżej, ze szczególnym uwzględnieniem spraw, w których przeprowadzono postępowanie dowodowe wymagające szerokiego omówienia w uzasadnieniu;</w:t>
      </w:r>
    </w:p>
    <w:p w:rsidR="00015CC4" w:rsidRDefault="00015CC4" w:rsidP="00F669E2">
      <w:pPr>
        <w:pStyle w:val="Akapitzlist"/>
        <w:numPr>
          <w:ilvl w:val="0"/>
          <w:numId w:val="27"/>
        </w:numPr>
        <w:spacing w:before="80"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83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najmniej jednego </w:t>
      </w:r>
      <w:r w:rsidRPr="0083176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831769">
        <w:rPr>
          <w:rFonts w:ascii="Times New Roman" w:eastAsia="Calibri" w:hAnsi="Times New Roman" w:cs="Times New Roman"/>
          <w:sz w:val="24"/>
          <w:szCs w:val="24"/>
        </w:rPr>
        <w:t>planu rozprawy, zawierającego rozstrzygnięcia co do wniosków dowodowych stron oraz porządek przeprowadzanych na rozprawie dowodów, jak również  elementy fakultatywne wskazane w art. 205</w:t>
      </w:r>
      <w:r w:rsidRPr="00831769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 § 2 k.p.c.</w:t>
      </w:r>
      <w:r w:rsidR="00F669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69E2" w:rsidRPr="00F669E2" w:rsidRDefault="00F669E2" w:rsidP="00F669E2">
      <w:pPr>
        <w:pStyle w:val="Akapitzlist"/>
        <w:numPr>
          <w:ilvl w:val="0"/>
          <w:numId w:val="27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E2">
        <w:rPr>
          <w:rFonts w:ascii="Times New Roman" w:hAnsi="Times New Roman" w:cs="Times New Roman"/>
          <w:sz w:val="24"/>
          <w:szCs w:val="24"/>
        </w:rPr>
        <w:t>odezwy o udzielenie pomocy sądowej, w tym w ramach obrotu zagranicznego (przesłuchanie świadka, strony, ewentualnie przeprowadzenie innych dowodów).</w:t>
      </w:r>
    </w:p>
    <w:p w:rsidR="00F669E2" w:rsidRPr="00F669E2" w:rsidRDefault="00F669E2" w:rsidP="00F669E2">
      <w:pPr>
        <w:spacing w:before="80"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CC4" w:rsidRPr="00831769" w:rsidRDefault="00015CC4" w:rsidP="00015CC4">
      <w:pPr>
        <w:pStyle w:val="Akapitzlist"/>
        <w:numPr>
          <w:ilvl w:val="1"/>
          <w:numId w:val="1"/>
        </w:numPr>
        <w:spacing w:after="12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ZALECENIA W SPRAWIE PRAKTYK PO 15 ZJEŹDZIE.</w:t>
      </w:r>
    </w:p>
    <w:p w:rsidR="00015CC4" w:rsidRPr="00831769" w:rsidRDefault="00015CC4" w:rsidP="00015CC4">
      <w:pPr>
        <w:pStyle w:val="Teksttreci60"/>
        <w:tabs>
          <w:tab w:val="left" w:leader="dot" w:pos="3805"/>
        </w:tabs>
        <w:spacing w:after="120" w:line="360" w:lineRule="auto"/>
        <w:ind w:left="993"/>
        <w:jc w:val="both"/>
        <w:rPr>
          <w:sz w:val="24"/>
          <w:szCs w:val="24"/>
        </w:rPr>
      </w:pPr>
      <w:r w:rsidRPr="00831769">
        <w:rPr>
          <w:b/>
          <w:sz w:val="24"/>
          <w:szCs w:val="24"/>
        </w:rPr>
        <w:t>Przedmiot zjazdu:</w:t>
      </w:r>
      <w:r w:rsidRPr="00831769">
        <w:rPr>
          <w:sz w:val="24"/>
          <w:szCs w:val="24"/>
        </w:rPr>
        <w:t xml:space="preserve"> Prawo mieszkaniowe, księga wieczysta, postępowanie dowodowe cd.</w:t>
      </w:r>
    </w:p>
    <w:p w:rsidR="00015CC4" w:rsidRPr="00831769" w:rsidRDefault="00015CC4" w:rsidP="00015CC4">
      <w:pPr>
        <w:pStyle w:val="Akapitzlist"/>
        <w:spacing w:before="80" w:after="8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:rsidR="00015CC4" w:rsidRPr="00831769" w:rsidRDefault="00015CC4" w:rsidP="00015CC4">
      <w:pPr>
        <w:numPr>
          <w:ilvl w:val="0"/>
          <w:numId w:val="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najmu (prawa i obowiązki stron, terminy wypowiedzenia, najem lokali, ustawowe przesłanki eksmisji, prawo do lokalu socjalnego, wstąpienie w stosunek najmu);</w:t>
      </w:r>
    </w:p>
    <w:p w:rsidR="00015CC4" w:rsidRPr="00831769" w:rsidRDefault="00015CC4" w:rsidP="00015CC4">
      <w:pPr>
        <w:numPr>
          <w:ilvl w:val="0"/>
          <w:numId w:val="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dzierżawy;</w:t>
      </w:r>
    </w:p>
    <w:p w:rsidR="00015CC4" w:rsidRPr="00831769" w:rsidRDefault="00015CC4" w:rsidP="00015CC4">
      <w:pPr>
        <w:numPr>
          <w:ilvl w:val="0"/>
          <w:numId w:val="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 prawo do lokalu mieszkalnego (spółdzielcze lokatorskie prawo do lokalu mieszkalnego, spółdzielcze własnościowe prawo do lokalu mieszkalnego);</w:t>
      </w:r>
    </w:p>
    <w:p w:rsidR="00015CC4" w:rsidRPr="00831769" w:rsidRDefault="00015CC4" w:rsidP="00015CC4">
      <w:pPr>
        <w:numPr>
          <w:ilvl w:val="0"/>
          <w:numId w:val="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 własność lokali i związane z nią prawa i obowiązki; ochrona praw lokatorów;</w:t>
      </w:r>
    </w:p>
    <w:p w:rsidR="00015CC4" w:rsidRPr="00831769" w:rsidRDefault="00015CC4" w:rsidP="00015CC4">
      <w:pPr>
        <w:numPr>
          <w:ilvl w:val="0"/>
          <w:numId w:val="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odszkodowanie za bezumowne korzystanie z lokalu należne od osób zajmujących lokal bez tytułu prawnego i od gminy, która nie przedstawiła oferty zawarcia umowy najmu lokalu socjalnego; </w:t>
      </w:r>
    </w:p>
    <w:p w:rsidR="00015CC4" w:rsidRPr="00831769" w:rsidRDefault="00015CC4" w:rsidP="00015CC4">
      <w:pPr>
        <w:numPr>
          <w:ilvl w:val="0"/>
          <w:numId w:val="8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reprezentacji spółdzielni mieszkaniowych oraz wspólnot mieszkaniowych.</w:t>
      </w: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:rsidR="00015CC4" w:rsidRPr="00831769" w:rsidRDefault="00015CC4" w:rsidP="00015CC4">
      <w:pPr>
        <w:numPr>
          <w:ilvl w:val="0"/>
          <w:numId w:val="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koncentracji materiału dowodowego;</w:t>
      </w:r>
    </w:p>
    <w:p w:rsidR="00015CC4" w:rsidRPr="00831769" w:rsidRDefault="00015CC4" w:rsidP="00015CC4">
      <w:pPr>
        <w:numPr>
          <w:ilvl w:val="0"/>
          <w:numId w:val="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kontradyktoryjności i związane z nią zagadnienie rozkładu ciężaru dowodu;</w:t>
      </w:r>
    </w:p>
    <w:p w:rsidR="00015CC4" w:rsidRPr="00831769" w:rsidRDefault="00015CC4" w:rsidP="00015CC4">
      <w:pPr>
        <w:numPr>
          <w:ilvl w:val="0"/>
          <w:numId w:val="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swobodnej oceny dowodów, w tym umiejętność dokonywania oceny materiału dowodowego;</w:t>
      </w:r>
    </w:p>
    <w:p w:rsidR="00015CC4" w:rsidRPr="00831769" w:rsidRDefault="00015CC4" w:rsidP="00015CC4">
      <w:pPr>
        <w:numPr>
          <w:ilvl w:val="0"/>
          <w:numId w:val="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postanowień dowodowych dopuszczających dowód z opinii biegłego, w szczególności w sprawach o odszkodowanie za bezumowne korzystanie z lokalu;</w:t>
      </w:r>
    </w:p>
    <w:p w:rsidR="00015CC4" w:rsidRPr="00831769" w:rsidRDefault="00015CC4" w:rsidP="00015CC4">
      <w:pPr>
        <w:numPr>
          <w:ilvl w:val="0"/>
          <w:numId w:val="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przesłuchiwania stron i świadków w sprawach objętych tematyką materialnoprawną zjazdu;</w:t>
      </w:r>
    </w:p>
    <w:p w:rsidR="00015CC4" w:rsidRPr="00831769" w:rsidRDefault="00015CC4" w:rsidP="00015CC4">
      <w:pPr>
        <w:numPr>
          <w:ilvl w:val="0"/>
          <w:numId w:val="9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prawidłowego formułowania orzeczeń w sprawach: 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ustalenie; 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o eksmisję;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o zasądzenie czynszu z tytułu umowy najmu, dzierżawy;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o odszkodowanie za bezumowne korzystanie z lokalu/nieruchomości;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rozwiązanie stosunku prawnego uprawniającego do używania lokalu;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uprawnienia bądź braku uprawnienia do otrzymania lokalu socjalnego, </w:t>
      </w:r>
    </w:p>
    <w:p w:rsidR="00015CC4" w:rsidRPr="00831769" w:rsidRDefault="00015CC4" w:rsidP="00015CC4">
      <w:pPr>
        <w:pStyle w:val="Akapitzlist"/>
        <w:numPr>
          <w:ilvl w:val="3"/>
          <w:numId w:val="19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69">
        <w:rPr>
          <w:rFonts w:ascii="Times New Roman" w:eastAsia="Times New Roman" w:hAnsi="Times New Roman" w:cs="Times New Roman"/>
          <w:sz w:val="24"/>
          <w:szCs w:val="24"/>
          <w:lang w:eastAsia="pl-PL"/>
        </w:rPr>
        <w:t>o uzgodnienie treści księgi wieczystej z rzeczywistym stanem prawnym.</w:t>
      </w:r>
    </w:p>
    <w:p w:rsidR="00015CC4" w:rsidRPr="00831769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CC4" w:rsidRPr="0054664D" w:rsidRDefault="00015CC4" w:rsidP="00015CC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69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015CC4" w:rsidRPr="00831769" w:rsidRDefault="00015CC4" w:rsidP="00015CC4">
      <w:pPr>
        <w:pStyle w:val="Akapitzlist"/>
        <w:numPr>
          <w:ilvl w:val="0"/>
          <w:numId w:val="1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831769">
        <w:rPr>
          <w:rFonts w:ascii="Times New Roman" w:hAnsi="Times New Roman" w:cs="Times New Roman"/>
          <w:sz w:val="24"/>
          <w:szCs w:val="24"/>
        </w:rPr>
        <w:t xml:space="preserve"> projektów wyroków wraz z uzasadnieniem </w:t>
      </w:r>
      <w:r>
        <w:rPr>
          <w:rFonts w:ascii="Times New Roman" w:hAnsi="Times New Roman" w:cs="Times New Roman"/>
          <w:sz w:val="24"/>
          <w:szCs w:val="24"/>
        </w:rPr>
        <w:t xml:space="preserve">(i zarządzeniami) </w:t>
      </w:r>
      <w:r w:rsidRPr="00831769">
        <w:rPr>
          <w:rFonts w:ascii="Times New Roman" w:hAnsi="Times New Roman" w:cs="Times New Roman"/>
          <w:sz w:val="24"/>
          <w:szCs w:val="24"/>
        </w:rPr>
        <w:t>w sprawach dotyczących: roszczeń wynikających z umów najmu, o odszkodowanie za bezumowne korzystanie z lokalu/nieruchomości, roszczeń dotyczących eksmisji, uprawnienia lub braku uprawnienia do otrzymania lokalu socjalnego, uzgodnienia treści księgi wieczystej z rzeczywistym stanem prawnym;</w:t>
      </w:r>
    </w:p>
    <w:p w:rsidR="00015CC4" w:rsidRPr="00831769" w:rsidRDefault="00015CC4" w:rsidP="00015CC4">
      <w:pPr>
        <w:pStyle w:val="Akapitzlist"/>
        <w:numPr>
          <w:ilvl w:val="0"/>
          <w:numId w:val="1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831769">
        <w:rPr>
          <w:rFonts w:ascii="Times New Roman" w:hAnsi="Times New Roman" w:cs="Times New Roman"/>
          <w:sz w:val="24"/>
          <w:szCs w:val="24"/>
        </w:rPr>
        <w:t xml:space="preserve"> projektów następujących decyzji procesowych: </w:t>
      </w:r>
    </w:p>
    <w:p w:rsidR="00015CC4" w:rsidRPr="00831769" w:rsidRDefault="00015CC4" w:rsidP="00015CC4">
      <w:pPr>
        <w:pStyle w:val="Akapitzlist"/>
        <w:numPr>
          <w:ilvl w:val="0"/>
          <w:numId w:val="20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postanowienia o dopuszczeniu dowodu z opinii biegłego/biegłych lub instytutu wraz z zarządzeniami zmierzającymi do wykonania takiego postanowienia, </w:t>
      </w:r>
      <w:r w:rsidRPr="00831769">
        <w:rPr>
          <w:rFonts w:ascii="Times New Roman" w:eastAsia="Calibri" w:hAnsi="Times New Roman" w:cs="Times New Roman"/>
          <w:sz w:val="24"/>
          <w:szCs w:val="24"/>
        </w:rPr>
        <w:lastRenderedPageBreak/>
        <w:t>w szczególności w sprawach o odszkodowanie za bezumowne korzystanie z nieruchomości/lokalu;</w:t>
      </w:r>
    </w:p>
    <w:p w:rsidR="00015CC4" w:rsidRPr="00831769" w:rsidRDefault="00015CC4" w:rsidP="00015CC4">
      <w:pPr>
        <w:pStyle w:val="Akapitzlist"/>
        <w:numPr>
          <w:ilvl w:val="0"/>
          <w:numId w:val="20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postanowienia</w:t>
      </w:r>
      <w:r w:rsidRPr="00831769">
        <w:rPr>
          <w:rFonts w:ascii="Times New Roman" w:hAnsi="Times New Roman" w:cs="Times New Roman"/>
          <w:sz w:val="24"/>
          <w:szCs w:val="24"/>
        </w:rPr>
        <w:t xml:space="preserve"> w przedmiocie przyznania biegłemu lub instytutowi wynagrodzenia za udział w rozprawie i za wykonaną pracę wraz z zarządzeniami zmierzającymi do wykonania takiego postanowienia;</w:t>
      </w:r>
    </w:p>
    <w:p w:rsidR="00015CC4" w:rsidRDefault="00015CC4" w:rsidP="00015CC4">
      <w:pPr>
        <w:pStyle w:val="Akapitzlist"/>
        <w:numPr>
          <w:ilvl w:val="0"/>
          <w:numId w:val="20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postanowienia o skazaniu świadka/biegłego na grzywnę oraz postanowienia w przedmiocie zwolnienia świadka (biegłego) od grzywny wraz z zarządzeniami zmierzającymi do wykonania takich postanowień</w:t>
      </w:r>
      <w:r w:rsidR="00F669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9E2" w:rsidRPr="00831769" w:rsidRDefault="00F669E2" w:rsidP="00F669E2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54664D" w:rsidRDefault="00015CC4" w:rsidP="00015CC4">
      <w:pPr>
        <w:pStyle w:val="Akapitzlist"/>
        <w:numPr>
          <w:ilvl w:val="1"/>
          <w:numId w:val="1"/>
        </w:numPr>
        <w:spacing w:after="12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ZALECENIA W SPRAWIE PRAKTYK PO 16 ZJEŹDZIE.</w:t>
      </w:r>
    </w:p>
    <w:p w:rsidR="00015CC4" w:rsidRPr="00831769" w:rsidRDefault="00015CC4" w:rsidP="00015C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b/>
          <w:sz w:val="24"/>
          <w:szCs w:val="24"/>
        </w:rPr>
        <w:t>Przedmiot zjazdu:</w:t>
      </w:r>
      <w:r w:rsidRPr="00831769">
        <w:rPr>
          <w:rFonts w:ascii="Times New Roman" w:hAnsi="Times New Roman" w:cs="Times New Roman"/>
          <w:sz w:val="24"/>
          <w:szCs w:val="24"/>
        </w:rPr>
        <w:t xml:space="preserve"> prawo własności, posiadanie, przekształcenia procesowe, zabezpieczenie roszczeń, wyrokowanie</w:t>
      </w: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:rsidR="00015CC4" w:rsidRPr="00831769" w:rsidRDefault="00015CC4" w:rsidP="00015CC4">
      <w:pPr>
        <w:numPr>
          <w:ilvl w:val="0"/>
          <w:numId w:val="11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pojęcie i treść prawa własności oraz współwłasności; nabycie i utrata własności, wykonywanie i ochrona prawa własności;</w:t>
      </w:r>
    </w:p>
    <w:p w:rsidR="00015CC4" w:rsidRPr="00831769" w:rsidRDefault="00015CC4" w:rsidP="00015CC4">
      <w:pPr>
        <w:numPr>
          <w:ilvl w:val="0"/>
          <w:numId w:val="11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prawo sąsiedzkie; ochrona petytoryjna i posesoryjna;</w:t>
      </w:r>
    </w:p>
    <w:p w:rsidR="00015CC4" w:rsidRPr="00831769" w:rsidRDefault="00015CC4" w:rsidP="00015CC4">
      <w:pPr>
        <w:numPr>
          <w:ilvl w:val="0"/>
          <w:numId w:val="11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umowa przedwstępna, roszczenia na tle niewykonania umowy przedwstępnej;</w:t>
      </w:r>
    </w:p>
    <w:p w:rsidR="00015CC4" w:rsidRPr="00831769" w:rsidRDefault="00015CC4" w:rsidP="00015CC4">
      <w:pPr>
        <w:numPr>
          <w:ilvl w:val="0"/>
          <w:numId w:val="11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odwołanie darowizny i jego skutki.</w:t>
      </w:r>
    </w:p>
    <w:p w:rsidR="00015CC4" w:rsidRPr="00831769" w:rsidRDefault="00015CC4" w:rsidP="00015CC4">
      <w:pPr>
        <w:pStyle w:val="Akapitzlist"/>
        <w:spacing w:before="80" w:after="8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3176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831769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współuczestnictwo procesowe;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dopuszczalność przedmiotowej i podmiotowej zmiany powództwa, podejmowanie decyzji procesowych na podstawie art. 193 – 196 k.p.c.;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interwencję główną i uboczną, przypozwanie; kumulację i rozdrabnianie roszczeń;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ocenę materiału dowodowego;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sposób formułowania rozstrzygnięcia w sprawach posesoryjnych i petytoryjnych; sposób formułowania rozstrzygnięcia w sprawach o zobowiązanie do złożenia oświadczenia woli;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 xml:space="preserve">zabezpieczenie roszczenia, w szczególności przesłanki udzielenia zabezpieczenia, zabezpieczenie na wniosek i z urzędu, właściwość sądu, treść wniosku, granice rozpoznania wniosku, sposoby zabezpieczenia roszczeń pieniężnych i niepieniężnych, formułowanie postanowień o udzieleniu zabezpieczenia, nadanie klauzuli wykonalności z </w:t>
      </w:r>
      <w:r w:rsidRPr="008317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urzędu, koszty postępowania zabezpieczającego, upadek zabezpieczenia, uchylenie lub zmianę postanowienia o udzieleniu zabezpieczenia; </w:t>
      </w:r>
    </w:p>
    <w:p w:rsidR="00015CC4" w:rsidRPr="00831769" w:rsidRDefault="00015CC4" w:rsidP="00015CC4">
      <w:pPr>
        <w:numPr>
          <w:ilvl w:val="0"/>
          <w:numId w:val="1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ustawę o skardze na naruszenie prawa strony do rozpoznania sprawy w postępowaniu przygotowawczym prowadzonym lub nadzorowanym przez prokuratora i postępowaniu sądowym bez nieuzasadnionej zwłoki.</w:t>
      </w:r>
    </w:p>
    <w:p w:rsidR="00015CC4" w:rsidRPr="00831769" w:rsidRDefault="00015CC4" w:rsidP="00015CC4">
      <w:pPr>
        <w:pStyle w:val="Akapitzlist"/>
        <w:spacing w:before="80" w:after="8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CC4" w:rsidRPr="00831769" w:rsidRDefault="00015CC4" w:rsidP="00015CC4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69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015CC4" w:rsidRPr="00831769" w:rsidRDefault="00015CC4" w:rsidP="00015CC4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831769">
        <w:rPr>
          <w:rFonts w:ascii="Times New Roman" w:hAnsi="Times New Roman" w:cs="Times New Roman"/>
          <w:sz w:val="24"/>
          <w:szCs w:val="24"/>
        </w:rPr>
        <w:t xml:space="preserve"> co najmniej dwóch projektów wyroków wraz z uzasadnieniem</w:t>
      </w:r>
      <w:r>
        <w:rPr>
          <w:rFonts w:ascii="Times New Roman" w:hAnsi="Times New Roman" w:cs="Times New Roman"/>
          <w:sz w:val="24"/>
          <w:szCs w:val="24"/>
        </w:rPr>
        <w:t xml:space="preserve"> (i zarządzeniami)</w:t>
      </w:r>
      <w:r w:rsidRPr="00831769">
        <w:rPr>
          <w:rFonts w:ascii="Times New Roman" w:hAnsi="Times New Roman" w:cs="Times New Roman"/>
          <w:sz w:val="24"/>
          <w:szCs w:val="24"/>
        </w:rPr>
        <w:t xml:space="preserve"> w sprawach w których zgłoszono roszczenia posesoryjne, petytoryjne, o zobowiązanie do złożenia oświadczenia woli albo o nakazanie określonego zachowania się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5CC4" w:rsidRPr="00831769" w:rsidRDefault="00015CC4" w:rsidP="00015CC4">
      <w:pPr>
        <w:pStyle w:val="Akapitzlist"/>
        <w:numPr>
          <w:ilvl w:val="0"/>
          <w:numId w:val="1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831769">
        <w:rPr>
          <w:rFonts w:ascii="Times New Roman" w:hAnsi="Times New Roman" w:cs="Times New Roman"/>
          <w:sz w:val="24"/>
          <w:szCs w:val="24"/>
        </w:rPr>
        <w:t xml:space="preserve"> co najmniej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831769">
        <w:rPr>
          <w:rFonts w:ascii="Times New Roman" w:hAnsi="Times New Roman" w:cs="Times New Roman"/>
          <w:sz w:val="24"/>
          <w:szCs w:val="24"/>
        </w:rPr>
        <w:t xml:space="preserve"> (różnorodnych) projektów postanowień, wraz z uzasadnieniem</w:t>
      </w:r>
      <w:r>
        <w:rPr>
          <w:rFonts w:ascii="Times New Roman" w:hAnsi="Times New Roman" w:cs="Times New Roman"/>
          <w:sz w:val="24"/>
          <w:szCs w:val="24"/>
        </w:rPr>
        <w:t xml:space="preserve"> (i zarządzeniami)</w:t>
      </w:r>
      <w:r w:rsidRPr="00831769">
        <w:rPr>
          <w:rFonts w:ascii="Times New Roman" w:hAnsi="Times New Roman" w:cs="Times New Roman"/>
          <w:sz w:val="24"/>
          <w:szCs w:val="24"/>
        </w:rPr>
        <w:t xml:space="preserve">, rozstrzygających o zabezpieczeniu roszczenia; </w:t>
      </w:r>
    </w:p>
    <w:p w:rsidR="00015CC4" w:rsidRPr="00831769" w:rsidRDefault="00015CC4" w:rsidP="00015CC4">
      <w:pPr>
        <w:pStyle w:val="Akapitzlist"/>
        <w:numPr>
          <w:ilvl w:val="0"/>
          <w:numId w:val="1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procesowych: </w:t>
      </w:r>
    </w:p>
    <w:p w:rsidR="00015CC4" w:rsidRPr="00831769" w:rsidRDefault="00015CC4" w:rsidP="00015CC4">
      <w:pPr>
        <w:pStyle w:val="Akapitzlist"/>
        <w:numPr>
          <w:ilvl w:val="0"/>
          <w:numId w:val="21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podejmowanych po złożeniu wniosku o przypozwanie;</w:t>
      </w:r>
    </w:p>
    <w:p w:rsidR="00015CC4" w:rsidRPr="00831769" w:rsidRDefault="00015CC4" w:rsidP="00015CC4">
      <w:pPr>
        <w:pStyle w:val="Akapitzlist"/>
        <w:numPr>
          <w:ilvl w:val="0"/>
          <w:numId w:val="21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podejmowanych w przypadku przedmiotowej zmiany powództwa;</w:t>
      </w:r>
    </w:p>
    <w:p w:rsidR="00015CC4" w:rsidRPr="00831769" w:rsidRDefault="00015CC4" w:rsidP="00015CC4">
      <w:pPr>
        <w:pStyle w:val="Akapitzlist"/>
        <w:numPr>
          <w:ilvl w:val="0"/>
          <w:numId w:val="21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1769">
        <w:rPr>
          <w:rFonts w:ascii="Times New Roman" w:hAnsi="Times New Roman" w:cs="Times New Roman"/>
          <w:sz w:val="24"/>
          <w:szCs w:val="24"/>
        </w:rPr>
        <w:t>podejmowanych w przypadkach podmiotowej zmiany powództwa.</w:t>
      </w:r>
    </w:p>
    <w:p w:rsidR="00015CC4" w:rsidRPr="00831769" w:rsidRDefault="00015CC4" w:rsidP="00015CC4">
      <w:pPr>
        <w:pStyle w:val="Teksttreci60"/>
        <w:tabs>
          <w:tab w:val="left" w:leader="dot" w:pos="3805"/>
        </w:tabs>
        <w:spacing w:after="120" w:line="360" w:lineRule="auto"/>
        <w:ind w:left="993"/>
        <w:jc w:val="both"/>
        <w:rPr>
          <w:sz w:val="24"/>
          <w:szCs w:val="24"/>
        </w:rPr>
      </w:pPr>
    </w:p>
    <w:p w:rsidR="008E7F38" w:rsidRDefault="008E7F38"/>
    <w:sectPr w:rsidR="008E7F38" w:rsidSect="00E520B5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98" w:rsidRDefault="003D2398">
      <w:pPr>
        <w:spacing w:after="0" w:line="240" w:lineRule="auto"/>
      </w:pPr>
      <w:r>
        <w:separator/>
      </w:r>
    </w:p>
  </w:endnote>
  <w:endnote w:type="continuationSeparator" w:id="0">
    <w:p w:rsidR="003D2398" w:rsidRDefault="003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958417"/>
      <w:docPartObj>
        <w:docPartGallery w:val="Page Numbers (Bottom of Page)"/>
        <w:docPartUnique/>
      </w:docPartObj>
    </w:sdtPr>
    <w:sdtEndPr/>
    <w:sdtContent>
      <w:p w:rsidR="002F532C" w:rsidRDefault="00015C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21">
          <w:rPr>
            <w:noProof/>
          </w:rPr>
          <w:t>2</w:t>
        </w:r>
        <w:r>
          <w:fldChar w:fldCharType="end"/>
        </w:r>
      </w:p>
    </w:sdtContent>
  </w:sdt>
  <w:p w:rsidR="007A3737" w:rsidRDefault="003D2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98" w:rsidRDefault="003D2398">
      <w:pPr>
        <w:spacing w:after="0" w:line="240" w:lineRule="auto"/>
      </w:pPr>
      <w:r>
        <w:separator/>
      </w:r>
    </w:p>
  </w:footnote>
  <w:footnote w:type="continuationSeparator" w:id="0">
    <w:p w:rsidR="003D2398" w:rsidRDefault="003D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981"/>
    <w:multiLevelType w:val="hybridMultilevel"/>
    <w:tmpl w:val="B95A688E"/>
    <w:lvl w:ilvl="0" w:tplc="AFD85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966"/>
    <w:multiLevelType w:val="hybridMultilevel"/>
    <w:tmpl w:val="DA78D6A0"/>
    <w:lvl w:ilvl="0" w:tplc="69B6D8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3FD"/>
    <w:multiLevelType w:val="hybridMultilevel"/>
    <w:tmpl w:val="8CDA14F6"/>
    <w:lvl w:ilvl="0" w:tplc="8AD81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642"/>
    <w:multiLevelType w:val="hybridMultilevel"/>
    <w:tmpl w:val="E7E60DD8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646F52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554794"/>
    <w:multiLevelType w:val="hybridMultilevel"/>
    <w:tmpl w:val="CB7E29E2"/>
    <w:lvl w:ilvl="0" w:tplc="522CC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726"/>
    <w:multiLevelType w:val="hybridMultilevel"/>
    <w:tmpl w:val="FB02FEE4"/>
    <w:lvl w:ilvl="0" w:tplc="1DA6E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30A7"/>
    <w:multiLevelType w:val="hybridMultilevel"/>
    <w:tmpl w:val="6582A8E6"/>
    <w:lvl w:ilvl="0" w:tplc="28B6594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968F84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27BBD"/>
    <w:multiLevelType w:val="hybridMultilevel"/>
    <w:tmpl w:val="6B46D472"/>
    <w:lvl w:ilvl="0" w:tplc="A34E7D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E6296"/>
    <w:multiLevelType w:val="hybridMultilevel"/>
    <w:tmpl w:val="7DF22A5E"/>
    <w:lvl w:ilvl="0" w:tplc="CBD06A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E4CAB"/>
    <w:multiLevelType w:val="hybridMultilevel"/>
    <w:tmpl w:val="137A8134"/>
    <w:lvl w:ilvl="0" w:tplc="0A2228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845B1"/>
    <w:multiLevelType w:val="hybridMultilevel"/>
    <w:tmpl w:val="F8FCA60C"/>
    <w:lvl w:ilvl="0" w:tplc="A6046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102"/>
    <w:multiLevelType w:val="hybridMultilevel"/>
    <w:tmpl w:val="9EB4EDAC"/>
    <w:lvl w:ilvl="0" w:tplc="913C5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7E07"/>
    <w:multiLevelType w:val="hybridMultilevel"/>
    <w:tmpl w:val="328201A6"/>
    <w:lvl w:ilvl="0" w:tplc="AE7656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C4CB4"/>
    <w:multiLevelType w:val="hybridMultilevel"/>
    <w:tmpl w:val="A5DED748"/>
    <w:lvl w:ilvl="0" w:tplc="73DA09C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5" w15:restartNumberingAfterBreak="0">
    <w:nsid w:val="434271DA"/>
    <w:multiLevelType w:val="hybridMultilevel"/>
    <w:tmpl w:val="20F49DD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6" w15:restartNumberingAfterBreak="0">
    <w:nsid w:val="592B0658"/>
    <w:multiLevelType w:val="hybridMultilevel"/>
    <w:tmpl w:val="FA427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966EE"/>
    <w:multiLevelType w:val="hybridMultilevel"/>
    <w:tmpl w:val="5C98963A"/>
    <w:lvl w:ilvl="0" w:tplc="CA1AEC7E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B4A7E8F"/>
    <w:multiLevelType w:val="hybridMultilevel"/>
    <w:tmpl w:val="87961348"/>
    <w:lvl w:ilvl="0" w:tplc="FE7A25C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E9A0D69"/>
    <w:multiLevelType w:val="hybridMultilevel"/>
    <w:tmpl w:val="CF544AC8"/>
    <w:lvl w:ilvl="0" w:tplc="40546BE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9397A4B"/>
    <w:multiLevelType w:val="hybridMultilevel"/>
    <w:tmpl w:val="B5E6D684"/>
    <w:lvl w:ilvl="0" w:tplc="150A8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45B6E"/>
    <w:multiLevelType w:val="hybridMultilevel"/>
    <w:tmpl w:val="B484E0B2"/>
    <w:lvl w:ilvl="0" w:tplc="A810E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417C2"/>
    <w:multiLevelType w:val="hybridMultilevel"/>
    <w:tmpl w:val="50C61344"/>
    <w:lvl w:ilvl="0" w:tplc="97D0718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1424240"/>
    <w:multiLevelType w:val="hybridMultilevel"/>
    <w:tmpl w:val="9E92B392"/>
    <w:lvl w:ilvl="0" w:tplc="6B4CBB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89C"/>
    <w:multiLevelType w:val="hybridMultilevel"/>
    <w:tmpl w:val="06EE4D6C"/>
    <w:lvl w:ilvl="0" w:tplc="AEF4581C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8825FF8"/>
    <w:multiLevelType w:val="hybridMultilevel"/>
    <w:tmpl w:val="D3EEC97A"/>
    <w:lvl w:ilvl="0" w:tplc="085ACC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C5763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20"/>
  </w:num>
  <w:num w:numId="16">
    <w:abstractNumId w:val="13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19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C4"/>
    <w:rsid w:val="00015CC4"/>
    <w:rsid w:val="00063311"/>
    <w:rsid w:val="00123342"/>
    <w:rsid w:val="00304C95"/>
    <w:rsid w:val="003D2398"/>
    <w:rsid w:val="0051207F"/>
    <w:rsid w:val="00550B60"/>
    <w:rsid w:val="00664D42"/>
    <w:rsid w:val="0082048D"/>
    <w:rsid w:val="008847BE"/>
    <w:rsid w:val="008E7F38"/>
    <w:rsid w:val="008F26C1"/>
    <w:rsid w:val="009F1C21"/>
    <w:rsid w:val="00C76F60"/>
    <w:rsid w:val="00E373A7"/>
    <w:rsid w:val="00E95348"/>
    <w:rsid w:val="00F56B3E"/>
    <w:rsid w:val="00F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DA03-CCD5-4AD3-BCCA-9DF2A446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CC4"/>
    <w:pPr>
      <w:ind w:left="720"/>
      <w:contextualSpacing/>
    </w:pPr>
  </w:style>
  <w:style w:type="table" w:styleId="Tabela-Siatka">
    <w:name w:val="Table Grid"/>
    <w:basedOn w:val="Standardowy"/>
    <w:uiPriority w:val="39"/>
    <w:rsid w:val="0001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015C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15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01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CC4"/>
  </w:style>
  <w:style w:type="character" w:styleId="Hipercze">
    <w:name w:val="Hyperlink"/>
    <w:basedOn w:val="Domylnaczcionkaakapitu"/>
    <w:uiPriority w:val="99"/>
    <w:unhideWhenUsed/>
    <w:rsid w:val="00015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ssip.gov.pl/node/7958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2999</Words>
  <Characters>17997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2024-11-13T09:35:00Z</dcterms:created>
  <dcterms:modified xsi:type="dcterms:W3CDTF">2024-11-13T09:35:00Z</dcterms:modified>
</cp:coreProperties>
</file>