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2B" w:rsidRDefault="00263AE2" w:rsidP="00F830E0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OAP-II.420.2</w:t>
      </w:r>
      <w:r w:rsidR="00A9632B">
        <w:rPr>
          <w:rFonts w:ascii="Times New Roman" w:hAnsi="Times New Roman"/>
          <w:sz w:val="24"/>
          <w:szCs w:val="24"/>
        </w:rPr>
        <w:t xml:space="preserve">.2019                                                                                                                                                   </w:t>
      </w:r>
    </w:p>
    <w:p w:rsidR="00A9632B" w:rsidRDefault="00A9632B" w:rsidP="00F830E0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Kraków, dnia </w:t>
      </w:r>
      <w:r w:rsidR="00263AE2">
        <w:rPr>
          <w:rFonts w:ascii="Times New Roman" w:hAnsi="Times New Roman"/>
          <w:sz w:val="24"/>
          <w:szCs w:val="24"/>
        </w:rPr>
        <w:t>8 marca</w:t>
      </w:r>
      <w:r>
        <w:rPr>
          <w:rFonts w:ascii="Times New Roman" w:hAnsi="Times New Roman"/>
          <w:sz w:val="24"/>
          <w:szCs w:val="24"/>
        </w:rPr>
        <w:t xml:space="preserve"> 2019 roku</w:t>
      </w:r>
    </w:p>
    <w:p w:rsidR="00A9632B" w:rsidRDefault="00A9632B" w:rsidP="00F830E0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A9632B" w:rsidRDefault="00263AE2" w:rsidP="00F830E0">
      <w:pPr>
        <w:spacing w:after="100" w:afterAutospacing="1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Dotyczy: praktyk aplikantów 9</w:t>
      </w:r>
      <w:r w:rsidR="00A9632B">
        <w:rPr>
          <w:rFonts w:ascii="Times New Roman" w:hAnsi="Times New Roman"/>
          <w:i/>
          <w:sz w:val="24"/>
          <w:szCs w:val="24"/>
        </w:rPr>
        <w:t>. rocznika aplikacji prokuratorskiej po XIII zjeździe</w:t>
      </w:r>
    </w:p>
    <w:p w:rsidR="00A9632B" w:rsidRDefault="00A9632B" w:rsidP="00F830E0">
      <w:pPr>
        <w:spacing w:after="100" w:afterAutospacing="1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</w:p>
    <w:p w:rsidR="00A9632B" w:rsidRDefault="00A9632B" w:rsidP="00F830E0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="00F713E7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A9632B" w:rsidRDefault="00A9632B" w:rsidP="00F830E0">
      <w:pPr>
        <w:spacing w:after="100" w:afterAutospacing="1" w:line="240" w:lineRule="auto"/>
        <w:ind w:left="42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Patroni Koordynatorzy</w:t>
      </w:r>
    </w:p>
    <w:p w:rsidR="00A9632B" w:rsidRDefault="00A9632B" w:rsidP="00F830E0">
      <w:pPr>
        <w:spacing w:after="100" w:afterAutospacing="1" w:line="240" w:lineRule="auto"/>
        <w:ind w:left="42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oraz Patroni praktyk</w:t>
      </w:r>
    </w:p>
    <w:p w:rsidR="00A9632B" w:rsidRDefault="00A9632B" w:rsidP="00F830E0">
      <w:pPr>
        <w:spacing w:after="100" w:afterAutospacing="1" w:line="240" w:lineRule="auto"/>
        <w:ind w:left="42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aplikantów aplikacji prokuratorskiej</w:t>
      </w:r>
    </w:p>
    <w:p w:rsidR="00A9632B" w:rsidRDefault="00A9632B" w:rsidP="00F830E0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A9632B" w:rsidRDefault="00A9632B" w:rsidP="00F830E0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§ 5 zarządzenia Dyrektora Krajowej Szkoły Sądownictwa i Prokuratury w Krakowie Nr 131/2010 z dnia 19 listopada 2010 roku w sprawie szczegółowych zasad odbywania praktyki przez aplikantów aplikacji sędziowskiej, prokuratorskiej oraz ogólnej (tekst ujednolicony) uprzejmie przedstawiam szczegółowy zakres tematyczny, który winien być przedmiotem praktyk aplikantów aplikacji prokuratorskiej odbywanych od </w:t>
      </w:r>
      <w:r w:rsidR="00263AE2">
        <w:rPr>
          <w:rFonts w:ascii="Times New Roman" w:hAnsi="Times New Roman"/>
          <w:sz w:val="24"/>
          <w:szCs w:val="24"/>
        </w:rPr>
        <w:t>23 kwietnia</w:t>
      </w:r>
      <w:r>
        <w:rPr>
          <w:rFonts w:ascii="Times New Roman" w:hAnsi="Times New Roman"/>
          <w:sz w:val="24"/>
          <w:szCs w:val="24"/>
        </w:rPr>
        <w:t xml:space="preserve"> 2019 roku do </w:t>
      </w:r>
      <w:r w:rsidR="00263AE2">
        <w:rPr>
          <w:rFonts w:ascii="Times New Roman" w:hAnsi="Times New Roman"/>
          <w:sz w:val="24"/>
          <w:szCs w:val="24"/>
        </w:rPr>
        <w:t>24 maja</w:t>
      </w:r>
      <w:r>
        <w:rPr>
          <w:rFonts w:ascii="Times New Roman" w:hAnsi="Times New Roman"/>
          <w:sz w:val="24"/>
          <w:szCs w:val="24"/>
        </w:rPr>
        <w:t xml:space="preserve"> 2019 roku w prokuraturach rejonowych. </w:t>
      </w:r>
    </w:p>
    <w:p w:rsidR="00F830E0" w:rsidRDefault="00263AE2" w:rsidP="00F830E0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0B35">
        <w:rPr>
          <w:rFonts w:ascii="Times New Roman" w:hAnsi="Times New Roman"/>
          <w:sz w:val="24"/>
          <w:szCs w:val="24"/>
        </w:rPr>
        <w:t xml:space="preserve">Zasadniczym celem praktyki jest </w:t>
      </w:r>
      <w:r w:rsidR="00F830E0" w:rsidRPr="00263AE2">
        <w:rPr>
          <w:rFonts w:ascii="Times New Roman" w:hAnsi="Times New Roman"/>
          <w:sz w:val="24"/>
          <w:szCs w:val="24"/>
        </w:rPr>
        <w:t xml:space="preserve">zapoznanie z zasadami procesowego zabezpieczania i wykorzystywania dokumentacji medyczno-sądowej, powoływania biegłych z zakresu medycyny sądowej oraz oceny  ich  opinii pod  kątem  podjęcia  decyzji  kończącej  postępowanie  przygotowawcze. Wskazany udział w sądowo-lekarskiej  sekcji zwłok </w:t>
      </w:r>
      <w:r w:rsidR="00F830E0">
        <w:rPr>
          <w:rFonts w:ascii="Times New Roman" w:hAnsi="Times New Roman"/>
          <w:sz w:val="24"/>
          <w:szCs w:val="24"/>
        </w:rPr>
        <w:br/>
      </w:r>
      <w:r w:rsidR="00F830E0" w:rsidRPr="00263AE2">
        <w:rPr>
          <w:rFonts w:ascii="Times New Roman" w:hAnsi="Times New Roman"/>
          <w:sz w:val="24"/>
          <w:szCs w:val="24"/>
        </w:rPr>
        <w:t>i w oględzinach zwłok  na  miejscu  ich ujawnienia.</w:t>
      </w:r>
    </w:p>
    <w:p w:rsidR="00263AE2" w:rsidRPr="00DE0B35" w:rsidRDefault="00263AE2" w:rsidP="00F830E0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0B35">
        <w:rPr>
          <w:rFonts w:ascii="Times New Roman" w:hAnsi="Times New Roman"/>
          <w:sz w:val="24"/>
          <w:szCs w:val="24"/>
        </w:rPr>
        <w:t>Nadto założeniem praktyki jest zaznajomienie aplikantów z czynnościami i metodyką pracy patronów praktyk oraz doskonalenie umiejętności wykorzystania wiedzy teoretycznej</w:t>
      </w:r>
      <w:r>
        <w:rPr>
          <w:rFonts w:ascii="Times New Roman" w:hAnsi="Times New Roman"/>
          <w:sz w:val="24"/>
          <w:szCs w:val="24"/>
        </w:rPr>
        <w:t xml:space="preserve"> </w:t>
      </w:r>
      <w:r w:rsidR="00F713E7">
        <w:rPr>
          <w:rFonts w:ascii="Times New Roman" w:hAnsi="Times New Roman"/>
          <w:sz w:val="24"/>
          <w:szCs w:val="24"/>
        </w:rPr>
        <w:br/>
      </w:r>
      <w:r w:rsidRPr="00DE0B35">
        <w:rPr>
          <w:rFonts w:ascii="Times New Roman" w:hAnsi="Times New Roman"/>
          <w:sz w:val="24"/>
          <w:szCs w:val="24"/>
        </w:rPr>
        <w:t>i znajomości orzecznictwa. Każdorazowo praktyka powinna utrwalić wiedzę zdobytą podczas bezpośrednio poprzedzających ją zajęć seminaryjnych w ramach zjazdu.</w:t>
      </w:r>
    </w:p>
    <w:p w:rsidR="00A9632B" w:rsidRDefault="00A9632B" w:rsidP="00F830E0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XIII zjazdu aplikacji prokuratorskiej odbywającego się w dniach od </w:t>
      </w:r>
      <w:r w:rsidR="00F830E0">
        <w:rPr>
          <w:rFonts w:ascii="Times New Roman" w:hAnsi="Times New Roman"/>
          <w:sz w:val="24"/>
          <w:szCs w:val="24"/>
        </w:rPr>
        <w:t>15 do 18 kwietnia 2019</w:t>
      </w:r>
      <w:r>
        <w:rPr>
          <w:rFonts w:ascii="Times New Roman" w:hAnsi="Times New Roman"/>
          <w:sz w:val="24"/>
          <w:szCs w:val="24"/>
        </w:rPr>
        <w:t xml:space="preserve"> roku </w:t>
      </w:r>
      <w:r w:rsidR="00F830E0">
        <w:rPr>
          <w:rFonts w:ascii="Times New Roman" w:hAnsi="Times New Roman"/>
          <w:sz w:val="24"/>
          <w:szCs w:val="24"/>
        </w:rPr>
        <w:t>jest medycyna sądowa, w tym</w:t>
      </w:r>
      <w:r>
        <w:rPr>
          <w:rFonts w:ascii="Times New Roman" w:hAnsi="Times New Roman"/>
          <w:sz w:val="24"/>
          <w:szCs w:val="24"/>
        </w:rPr>
        <w:t>:</w:t>
      </w:r>
    </w:p>
    <w:p w:rsidR="00F830E0" w:rsidRPr="009C0C53" w:rsidRDefault="004C0E6B" w:rsidP="00F830E0">
      <w:pPr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Medycyna sądowa</w:t>
      </w:r>
      <w:r w:rsidR="00F830E0" w:rsidRPr="009C0C53">
        <w:rPr>
          <w:rFonts w:ascii="Times New Roman" w:hAnsi="Times New Roman"/>
          <w:b/>
          <w:sz w:val="24"/>
          <w:szCs w:val="24"/>
        </w:rPr>
        <w:t>:</w:t>
      </w:r>
    </w:p>
    <w:p w:rsidR="00F830E0" w:rsidRPr="008014F3" w:rsidRDefault="00F830E0" w:rsidP="00F830E0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tanatologia sądowo-</w:t>
      </w:r>
      <w:r w:rsidRPr="008014F3">
        <w:rPr>
          <w:rFonts w:ascii="Times New Roman" w:hAnsi="Times New Roman"/>
          <w:sz w:val="24"/>
          <w:szCs w:val="24"/>
        </w:rPr>
        <w:t>lekarska i oględziny zwłok na miejscu ich ujawnienia</w:t>
      </w:r>
      <w:r>
        <w:rPr>
          <w:rFonts w:ascii="Times New Roman" w:hAnsi="Times New Roman"/>
          <w:sz w:val="24"/>
          <w:szCs w:val="24"/>
        </w:rPr>
        <w:t>;</w:t>
      </w:r>
    </w:p>
    <w:p w:rsidR="00F830E0" w:rsidRPr="008014F3" w:rsidRDefault="00F830E0" w:rsidP="00F830E0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opiniowanie sądowo – lekarskie w sprawach karnych;</w:t>
      </w:r>
    </w:p>
    <w:p w:rsidR="00F830E0" w:rsidRPr="008014F3" w:rsidRDefault="00F830E0" w:rsidP="00F830E0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014F3">
        <w:rPr>
          <w:rFonts w:ascii="Times New Roman" w:hAnsi="Times New Roman"/>
          <w:sz w:val="24"/>
          <w:szCs w:val="24"/>
        </w:rPr>
        <w:lastRenderedPageBreak/>
        <w:t>hemogenetyka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830E0" w:rsidRPr="008014F3" w:rsidRDefault="00F830E0" w:rsidP="00F830E0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1E44DE">
        <w:rPr>
          <w:rFonts w:ascii="Times New Roman" w:hAnsi="Times New Roman"/>
          <w:sz w:val="24"/>
          <w:szCs w:val="24"/>
        </w:rPr>
        <w:t>anatologia i alkohologia</w:t>
      </w:r>
      <w:r w:rsidR="004C0E6B">
        <w:rPr>
          <w:rFonts w:ascii="Times New Roman" w:hAnsi="Times New Roman"/>
          <w:sz w:val="24"/>
          <w:szCs w:val="24"/>
        </w:rPr>
        <w:t xml:space="preserve"> sądowo - lekarska</w:t>
      </w:r>
      <w:r>
        <w:rPr>
          <w:rFonts w:ascii="Times New Roman" w:hAnsi="Times New Roman"/>
          <w:sz w:val="24"/>
          <w:szCs w:val="24"/>
        </w:rPr>
        <w:t>;</w:t>
      </w:r>
    </w:p>
    <w:p w:rsidR="00F830E0" w:rsidRPr="008014F3" w:rsidRDefault="004C0E6B" w:rsidP="00F830E0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obrażenia ciała – urazy; uduszenie gwałtowne</w:t>
      </w:r>
      <w:r w:rsidR="00F830E0">
        <w:rPr>
          <w:rFonts w:ascii="Times New Roman" w:hAnsi="Times New Roman"/>
          <w:sz w:val="24"/>
          <w:szCs w:val="24"/>
        </w:rPr>
        <w:t>;</w:t>
      </w:r>
    </w:p>
    <w:p w:rsidR="00F830E0" w:rsidRPr="008014F3" w:rsidRDefault="004C0E6B" w:rsidP="00F830E0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obrażenia komunikacyjne;</w:t>
      </w:r>
    </w:p>
    <w:p w:rsidR="00F830E0" w:rsidRPr="008014F3" w:rsidRDefault="00F830E0" w:rsidP="00F830E0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014F3">
        <w:rPr>
          <w:rFonts w:ascii="Times New Roman" w:hAnsi="Times New Roman"/>
          <w:sz w:val="24"/>
          <w:szCs w:val="24"/>
        </w:rPr>
        <w:t xml:space="preserve">opiniowanie o zdolności do uczestniczenia w czynnościach procesowych, </w:t>
      </w:r>
      <w:r>
        <w:rPr>
          <w:rFonts w:ascii="Times New Roman" w:hAnsi="Times New Roman"/>
          <w:sz w:val="24"/>
          <w:szCs w:val="24"/>
        </w:rPr>
        <w:t> </w:t>
      </w:r>
      <w:r w:rsidRPr="008014F3">
        <w:rPr>
          <w:rFonts w:ascii="Times New Roman" w:hAnsi="Times New Roman"/>
          <w:sz w:val="24"/>
          <w:szCs w:val="24"/>
        </w:rPr>
        <w:t>możliwości przebywania w warunkach tymczasowego aresztowania oraz odbywania kary pozbawienia wolności</w:t>
      </w:r>
      <w:r>
        <w:rPr>
          <w:rFonts w:ascii="Times New Roman" w:hAnsi="Times New Roman"/>
          <w:sz w:val="24"/>
          <w:szCs w:val="24"/>
        </w:rPr>
        <w:t>;</w:t>
      </w:r>
    </w:p>
    <w:p w:rsidR="004C0E6B" w:rsidRDefault="004C0E6B" w:rsidP="00F830E0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diagnostyka pośmiertna ze szczególnym uwzględnieniem sadowo – lekarskiej sekcji zwłok; pośmiertne badania obrazowe, toksykologiczne, histopatologiczne, mikrobiologiczne i inne;</w:t>
      </w:r>
    </w:p>
    <w:p w:rsidR="004C0E6B" w:rsidRDefault="004C0E6B" w:rsidP="00F830E0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kryminalistyczne aspekty oględzin zwłok w miejscu ich znalezienia;</w:t>
      </w:r>
    </w:p>
    <w:p w:rsidR="004C0E6B" w:rsidRDefault="004C0E6B" w:rsidP="00F830E0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procesowe i organizacyjne aspekty sekcji zwłok;</w:t>
      </w:r>
    </w:p>
    <w:p w:rsidR="004C0E6B" w:rsidRDefault="004C0E6B" w:rsidP="00F830E0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kryminalistyczne aspekty śladów biologicznych;</w:t>
      </w:r>
    </w:p>
    <w:p w:rsidR="00F830E0" w:rsidRPr="00F713E7" w:rsidRDefault="004C0E6B" w:rsidP="00F713E7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zasady dowodzenia stanu nietrzeźwości w postępowaniu karnym</w:t>
      </w:r>
      <w:r w:rsidR="00F713E7">
        <w:rPr>
          <w:rFonts w:ascii="Times New Roman" w:hAnsi="Times New Roman"/>
          <w:sz w:val="24"/>
          <w:szCs w:val="24"/>
        </w:rPr>
        <w:t>.</w:t>
      </w:r>
    </w:p>
    <w:p w:rsidR="004C0E6B" w:rsidRPr="004C0E6B" w:rsidRDefault="004C0E6B" w:rsidP="004C0E6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C0E6B">
        <w:rPr>
          <w:rFonts w:ascii="Times New Roman" w:hAnsi="Times New Roman"/>
          <w:b/>
          <w:sz w:val="24"/>
          <w:szCs w:val="24"/>
        </w:rPr>
        <w:t>Błąd medyczny:</w:t>
      </w:r>
    </w:p>
    <w:p w:rsidR="004C0E6B" w:rsidRPr="004C0E6B" w:rsidRDefault="004C0E6B" w:rsidP="004C0E6B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:rsidR="00F830E0" w:rsidRDefault="004C0E6B" w:rsidP="004C0E6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metodyka postępowania dowodowego; aspekty </w:t>
      </w:r>
      <w:proofErr w:type="spellStart"/>
      <w:r>
        <w:rPr>
          <w:rFonts w:ascii="Times New Roman" w:hAnsi="Times New Roman"/>
          <w:sz w:val="24"/>
          <w:szCs w:val="24"/>
        </w:rPr>
        <w:t>materialno</w:t>
      </w:r>
      <w:proofErr w:type="spellEnd"/>
      <w:r>
        <w:rPr>
          <w:rFonts w:ascii="Times New Roman" w:hAnsi="Times New Roman"/>
          <w:sz w:val="24"/>
          <w:szCs w:val="24"/>
        </w:rPr>
        <w:t xml:space="preserve"> – prawne; opiniowanie sądowo – medyczne</w:t>
      </w:r>
      <w:r w:rsidR="00F713E7">
        <w:rPr>
          <w:rFonts w:ascii="Times New Roman" w:hAnsi="Times New Roman"/>
          <w:sz w:val="24"/>
          <w:szCs w:val="24"/>
        </w:rPr>
        <w:t>.</w:t>
      </w:r>
    </w:p>
    <w:p w:rsidR="004C0E6B" w:rsidRDefault="004C0E6B" w:rsidP="004C0E6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4C0E6B" w:rsidRDefault="004C0E6B" w:rsidP="004C0E6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4C0E6B">
        <w:rPr>
          <w:rFonts w:ascii="Times New Roman" w:hAnsi="Times New Roman"/>
          <w:b/>
          <w:sz w:val="24"/>
          <w:szCs w:val="24"/>
        </w:rPr>
        <w:t>Kryminalistyka:</w:t>
      </w:r>
    </w:p>
    <w:p w:rsidR="004C0E6B" w:rsidRPr="004C0E6B" w:rsidRDefault="004C0E6B" w:rsidP="004C0E6B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C0E6B" w:rsidRPr="004C0E6B" w:rsidRDefault="004C0E6B" w:rsidP="004C0E6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zagadnienia taktyki dowodowej w sprawach o wybrane przestępstwa: zabójstwa, bójki i pobicia, zgwałcenia, rozboje, katastrofy i wypadki komunikacyjne, wypadki przy pracy, pożary i inne (c.d. zajęć ze zjazdu VIII)</w:t>
      </w:r>
      <w:r w:rsidR="00F713E7">
        <w:rPr>
          <w:rFonts w:ascii="Times New Roman" w:hAnsi="Times New Roman"/>
          <w:sz w:val="24"/>
          <w:szCs w:val="24"/>
        </w:rPr>
        <w:t>.</w:t>
      </w:r>
    </w:p>
    <w:p w:rsidR="00F830E0" w:rsidRPr="008014F3" w:rsidRDefault="00F830E0" w:rsidP="00F830E0">
      <w:pPr>
        <w:jc w:val="both"/>
        <w:rPr>
          <w:rFonts w:ascii="Times New Roman" w:hAnsi="Times New Roman"/>
          <w:sz w:val="24"/>
          <w:szCs w:val="24"/>
        </w:rPr>
      </w:pPr>
      <w:r w:rsidRPr="008014F3">
        <w:rPr>
          <w:rFonts w:ascii="Times New Roman" w:hAnsi="Times New Roman"/>
          <w:sz w:val="24"/>
          <w:szCs w:val="24"/>
        </w:rPr>
        <w:tab/>
        <w:t>Patroni koordynatorzy oraz patroni praktyk powinni zadbać o to, by aplikanci w czasie odbywania praktyk mieli możliwość:</w:t>
      </w:r>
    </w:p>
    <w:p w:rsidR="00F830E0" w:rsidRPr="008014F3" w:rsidRDefault="00F830E0" w:rsidP="00F830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14F3">
        <w:rPr>
          <w:rFonts w:ascii="Times New Roman" w:hAnsi="Times New Roman"/>
          <w:sz w:val="24"/>
          <w:szCs w:val="24"/>
        </w:rPr>
        <w:t>uczestniczenia w oględzinach miejsc zdarzeń ze skutkiem śmiertelnym</w:t>
      </w:r>
      <w:r>
        <w:rPr>
          <w:rFonts w:ascii="Times New Roman" w:hAnsi="Times New Roman"/>
          <w:sz w:val="24"/>
          <w:szCs w:val="24"/>
        </w:rPr>
        <w:t xml:space="preserve"> takich jak:</w:t>
      </w:r>
      <w:r w:rsidRPr="008014F3">
        <w:rPr>
          <w:rFonts w:ascii="Times New Roman" w:hAnsi="Times New Roman"/>
          <w:sz w:val="24"/>
          <w:szCs w:val="24"/>
        </w:rPr>
        <w:t xml:space="preserve"> wypadki drogowe, wypadki przy pracy, przestępstwa przeciwko życiu itp. </w:t>
      </w:r>
      <w:r>
        <w:rPr>
          <w:rFonts w:ascii="Times New Roman" w:hAnsi="Times New Roman"/>
          <w:sz w:val="24"/>
          <w:szCs w:val="24"/>
        </w:rPr>
        <w:t>w</w:t>
      </w:r>
      <w:r w:rsidRPr="008014F3">
        <w:rPr>
          <w:rFonts w:ascii="Times New Roman" w:hAnsi="Times New Roman"/>
          <w:sz w:val="24"/>
          <w:szCs w:val="24"/>
        </w:rPr>
        <w:t xml:space="preserve"> celu utrwalenia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4F3">
        <w:rPr>
          <w:rFonts w:ascii="Times New Roman" w:hAnsi="Times New Roman"/>
          <w:sz w:val="24"/>
          <w:szCs w:val="24"/>
        </w:rPr>
        <w:t>prawidłowych wzorców postępowania prokuratora przy tego typu oględzinach, ze szczególnym uwzględnieniem oględzin zwłok i</w:t>
      </w:r>
      <w:r>
        <w:rPr>
          <w:rFonts w:ascii="Times New Roman" w:hAnsi="Times New Roman"/>
          <w:sz w:val="24"/>
          <w:szCs w:val="24"/>
        </w:rPr>
        <w:t> </w:t>
      </w:r>
      <w:r w:rsidRPr="008014F3">
        <w:rPr>
          <w:rFonts w:ascii="Times New Roman" w:hAnsi="Times New Roman"/>
          <w:sz w:val="24"/>
          <w:szCs w:val="24"/>
        </w:rPr>
        <w:t>podejmowania związanych z tym dalszych koniecznych decyzji</w:t>
      </w:r>
      <w:r>
        <w:rPr>
          <w:rFonts w:ascii="Times New Roman" w:hAnsi="Times New Roman"/>
          <w:sz w:val="24"/>
          <w:szCs w:val="24"/>
        </w:rPr>
        <w:t>;</w:t>
      </w:r>
    </w:p>
    <w:p w:rsidR="00F830E0" w:rsidRPr="008014F3" w:rsidRDefault="00F830E0" w:rsidP="00F830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14F3">
        <w:rPr>
          <w:rFonts w:ascii="Times New Roman" w:hAnsi="Times New Roman"/>
          <w:sz w:val="24"/>
          <w:szCs w:val="24"/>
        </w:rPr>
        <w:t>czynnego udziału w pracy nad sprawami wymagającymi powołania biegłych z</w:t>
      </w:r>
      <w:r>
        <w:rPr>
          <w:rFonts w:ascii="Times New Roman" w:hAnsi="Times New Roman"/>
          <w:sz w:val="24"/>
          <w:szCs w:val="24"/>
        </w:rPr>
        <w:t> </w:t>
      </w:r>
      <w:r w:rsidRPr="008014F3">
        <w:rPr>
          <w:rFonts w:ascii="Times New Roman" w:hAnsi="Times New Roman"/>
          <w:sz w:val="24"/>
          <w:szCs w:val="24"/>
        </w:rPr>
        <w:t>zakresu medycyny sądowej, genetyki sądowej, badania broni i balistyki oraz wypadków drogowych, gdzie powinni mieć możliwość przygotowywania projektów postanowień o zasięgnięciu takich opinii</w:t>
      </w:r>
      <w:r>
        <w:rPr>
          <w:rFonts w:ascii="Times New Roman" w:hAnsi="Times New Roman"/>
          <w:sz w:val="24"/>
          <w:szCs w:val="24"/>
        </w:rPr>
        <w:t>;</w:t>
      </w:r>
    </w:p>
    <w:p w:rsidR="00F830E0" w:rsidRPr="008014F3" w:rsidRDefault="00F830E0" w:rsidP="00F830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8014F3">
        <w:rPr>
          <w:rFonts w:ascii="Times New Roman" w:hAnsi="Times New Roman"/>
          <w:sz w:val="24"/>
          <w:szCs w:val="24"/>
        </w:rPr>
        <w:t>nabyci</w:t>
      </w:r>
      <w:r>
        <w:rPr>
          <w:rFonts w:ascii="Times New Roman" w:hAnsi="Times New Roman"/>
          <w:sz w:val="24"/>
          <w:szCs w:val="24"/>
        </w:rPr>
        <w:t>a</w:t>
      </w:r>
      <w:r w:rsidRPr="008014F3">
        <w:rPr>
          <w:rFonts w:ascii="Times New Roman" w:hAnsi="Times New Roman"/>
          <w:sz w:val="24"/>
          <w:szCs w:val="24"/>
        </w:rPr>
        <w:t xml:space="preserve"> przez aplikantów praktycznej umiejętności analizy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4F3">
        <w:rPr>
          <w:rFonts w:ascii="Times New Roman" w:hAnsi="Times New Roman"/>
          <w:sz w:val="24"/>
          <w:szCs w:val="24"/>
        </w:rPr>
        <w:t>w oparciu o materiały konkretnych spraw, materiału dowodowego pod kątem stwierdzenia potrzeby zasięgania opinii biegłego medyka sądowego oraz prawidłowego formułowania pytań uwzględniających istotne okoliczności sprawy, prawidłowego określ</w:t>
      </w:r>
      <w:r>
        <w:rPr>
          <w:rFonts w:ascii="Times New Roman" w:hAnsi="Times New Roman"/>
          <w:sz w:val="24"/>
          <w:szCs w:val="24"/>
        </w:rPr>
        <w:t>a</w:t>
      </w:r>
      <w:r w:rsidRPr="008014F3">
        <w:rPr>
          <w:rFonts w:ascii="Times New Roman" w:hAnsi="Times New Roman"/>
          <w:sz w:val="24"/>
          <w:szCs w:val="24"/>
        </w:rPr>
        <w:t>nia przedmiotu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4F3">
        <w:rPr>
          <w:rFonts w:ascii="Times New Roman" w:hAnsi="Times New Roman"/>
          <w:sz w:val="24"/>
          <w:szCs w:val="24"/>
        </w:rPr>
        <w:t>i zakresu zlecanych ekspertyz oraz umiejętności formułowania szcze</w:t>
      </w:r>
      <w:r>
        <w:rPr>
          <w:rFonts w:ascii="Times New Roman" w:hAnsi="Times New Roman"/>
          <w:sz w:val="24"/>
          <w:szCs w:val="24"/>
        </w:rPr>
        <w:t>gółowych pytań, niezbędnych dla</w:t>
      </w:r>
      <w:r w:rsidRPr="008014F3">
        <w:rPr>
          <w:rFonts w:ascii="Times New Roman" w:hAnsi="Times New Roman"/>
          <w:sz w:val="24"/>
          <w:szCs w:val="24"/>
        </w:rPr>
        <w:t xml:space="preserve"> wyczerpującego sprecyzowania zakresu opiniowania</w:t>
      </w:r>
      <w:r>
        <w:rPr>
          <w:rFonts w:ascii="Times New Roman" w:hAnsi="Times New Roman"/>
          <w:sz w:val="24"/>
          <w:szCs w:val="24"/>
        </w:rPr>
        <w:t>;</w:t>
      </w:r>
    </w:p>
    <w:p w:rsidR="00F830E0" w:rsidRPr="008014F3" w:rsidRDefault="00F830E0" w:rsidP="00F830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14F3">
        <w:rPr>
          <w:rFonts w:ascii="Times New Roman" w:hAnsi="Times New Roman"/>
          <w:sz w:val="24"/>
          <w:szCs w:val="24"/>
        </w:rPr>
        <w:t>zapoznani</w:t>
      </w:r>
      <w:r>
        <w:rPr>
          <w:rFonts w:ascii="Times New Roman" w:hAnsi="Times New Roman"/>
          <w:sz w:val="24"/>
          <w:szCs w:val="24"/>
        </w:rPr>
        <w:t>a</w:t>
      </w:r>
      <w:r w:rsidRPr="008014F3">
        <w:rPr>
          <w:rFonts w:ascii="Times New Roman" w:hAnsi="Times New Roman"/>
          <w:sz w:val="24"/>
          <w:szCs w:val="24"/>
        </w:rPr>
        <w:t xml:space="preserve"> się z formalną konstrukcją postanowienia dowodowego i jego uzasadnienia</w:t>
      </w:r>
      <w:r>
        <w:rPr>
          <w:rFonts w:ascii="Times New Roman" w:hAnsi="Times New Roman"/>
          <w:sz w:val="24"/>
          <w:szCs w:val="24"/>
        </w:rPr>
        <w:t>;</w:t>
      </w:r>
    </w:p>
    <w:p w:rsidR="00F830E0" w:rsidRPr="008014F3" w:rsidRDefault="00F830E0" w:rsidP="00F830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14F3">
        <w:rPr>
          <w:rFonts w:ascii="Times New Roman" w:hAnsi="Times New Roman"/>
          <w:sz w:val="24"/>
          <w:szCs w:val="24"/>
        </w:rPr>
        <w:t>nabyci</w:t>
      </w:r>
      <w:r>
        <w:rPr>
          <w:rFonts w:ascii="Times New Roman" w:hAnsi="Times New Roman"/>
          <w:sz w:val="24"/>
          <w:szCs w:val="24"/>
        </w:rPr>
        <w:t>a</w:t>
      </w:r>
      <w:r w:rsidRPr="008014F3">
        <w:rPr>
          <w:rFonts w:ascii="Times New Roman" w:hAnsi="Times New Roman"/>
          <w:sz w:val="24"/>
          <w:szCs w:val="24"/>
        </w:rPr>
        <w:t xml:space="preserve"> i utrwaleni</w:t>
      </w:r>
      <w:r>
        <w:rPr>
          <w:rFonts w:ascii="Times New Roman" w:hAnsi="Times New Roman"/>
          <w:sz w:val="24"/>
          <w:szCs w:val="24"/>
        </w:rPr>
        <w:t>a</w:t>
      </w:r>
      <w:r w:rsidRPr="008014F3">
        <w:rPr>
          <w:rFonts w:ascii="Times New Roman" w:hAnsi="Times New Roman"/>
          <w:sz w:val="24"/>
          <w:szCs w:val="24"/>
        </w:rPr>
        <w:t xml:space="preserve"> umiejętności sporządzania postanowienia o powołaniu biegłego z zakresu medycyny sądowej np. dot. obrażeń ciała, postrzałów z broni palnej, uduszenia gwałtownego, </w:t>
      </w:r>
      <w:proofErr w:type="spellStart"/>
      <w:r w:rsidRPr="008014F3">
        <w:rPr>
          <w:rFonts w:ascii="Times New Roman" w:hAnsi="Times New Roman"/>
          <w:sz w:val="24"/>
          <w:szCs w:val="24"/>
        </w:rPr>
        <w:t>hemogenetyki</w:t>
      </w:r>
      <w:proofErr w:type="spellEnd"/>
      <w:r w:rsidRPr="008014F3">
        <w:rPr>
          <w:rFonts w:ascii="Times New Roman" w:hAnsi="Times New Roman"/>
          <w:sz w:val="24"/>
          <w:szCs w:val="24"/>
        </w:rPr>
        <w:t>, wypadków drogowych, toksykologii, alkohologii oraz opiniowania o zdolności do uczestniczeni</w:t>
      </w:r>
      <w:r>
        <w:rPr>
          <w:rFonts w:ascii="Times New Roman" w:hAnsi="Times New Roman"/>
          <w:sz w:val="24"/>
          <w:szCs w:val="24"/>
        </w:rPr>
        <w:t>a w czynnościach procesowych;</w:t>
      </w:r>
    </w:p>
    <w:p w:rsidR="00F830E0" w:rsidRPr="008014F3" w:rsidRDefault="00F830E0" w:rsidP="00F830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14F3">
        <w:rPr>
          <w:rFonts w:ascii="Times New Roman" w:hAnsi="Times New Roman"/>
          <w:sz w:val="24"/>
          <w:szCs w:val="24"/>
        </w:rPr>
        <w:t>nabyci</w:t>
      </w:r>
      <w:r>
        <w:rPr>
          <w:rFonts w:ascii="Times New Roman" w:hAnsi="Times New Roman"/>
          <w:sz w:val="24"/>
          <w:szCs w:val="24"/>
        </w:rPr>
        <w:t>a</w:t>
      </w:r>
      <w:r w:rsidRPr="008014F3">
        <w:rPr>
          <w:rFonts w:ascii="Times New Roman" w:hAnsi="Times New Roman"/>
          <w:sz w:val="24"/>
          <w:szCs w:val="24"/>
        </w:rPr>
        <w:t xml:space="preserve"> praktycznej umiejętności wyboru prawidłowego biegłego i dalszej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4F3">
        <w:rPr>
          <w:rFonts w:ascii="Times New Roman" w:hAnsi="Times New Roman"/>
          <w:sz w:val="24"/>
          <w:szCs w:val="24"/>
        </w:rPr>
        <w:t>z nim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2F1B">
        <w:rPr>
          <w:rFonts w:ascii="Times New Roman" w:hAnsi="Times New Roman"/>
          <w:sz w:val="24"/>
          <w:szCs w:val="24"/>
        </w:rPr>
        <w:t>współpracy</w:t>
      </w:r>
      <w:r>
        <w:rPr>
          <w:rFonts w:ascii="Times New Roman" w:hAnsi="Times New Roman"/>
          <w:sz w:val="24"/>
          <w:szCs w:val="24"/>
        </w:rPr>
        <w:t>;</w:t>
      </w:r>
    </w:p>
    <w:p w:rsidR="00F830E0" w:rsidRDefault="00F830E0" w:rsidP="00F830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14F3">
        <w:rPr>
          <w:rFonts w:ascii="Times New Roman" w:hAnsi="Times New Roman"/>
          <w:sz w:val="24"/>
          <w:szCs w:val="24"/>
        </w:rPr>
        <w:t>nabyci</w:t>
      </w:r>
      <w:r>
        <w:rPr>
          <w:rFonts w:ascii="Times New Roman" w:hAnsi="Times New Roman"/>
          <w:sz w:val="24"/>
          <w:szCs w:val="24"/>
        </w:rPr>
        <w:t>a</w:t>
      </w:r>
      <w:r w:rsidRPr="008014F3">
        <w:rPr>
          <w:rFonts w:ascii="Times New Roman" w:hAnsi="Times New Roman"/>
          <w:sz w:val="24"/>
          <w:szCs w:val="24"/>
        </w:rPr>
        <w:t xml:space="preserve"> umiejętności oceny opinii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4F3">
        <w:rPr>
          <w:rFonts w:ascii="Times New Roman" w:hAnsi="Times New Roman"/>
          <w:sz w:val="24"/>
          <w:szCs w:val="24"/>
        </w:rPr>
        <w:t>biegłego pod kątem jej zupełności, przejrzystości i</w:t>
      </w:r>
      <w:r>
        <w:rPr>
          <w:rFonts w:ascii="Times New Roman" w:hAnsi="Times New Roman"/>
          <w:sz w:val="24"/>
          <w:szCs w:val="24"/>
        </w:rPr>
        <w:t> </w:t>
      </w:r>
      <w:r w:rsidR="004C0E6B">
        <w:rPr>
          <w:rFonts w:ascii="Times New Roman" w:hAnsi="Times New Roman"/>
          <w:sz w:val="24"/>
          <w:szCs w:val="24"/>
        </w:rPr>
        <w:t>braku wewnętrznych sprzeczności;</w:t>
      </w:r>
    </w:p>
    <w:p w:rsidR="004C0E6B" w:rsidRDefault="004C0E6B" w:rsidP="00F830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analizy </w:t>
      </w:r>
      <w:r w:rsidR="003C4326">
        <w:rPr>
          <w:rFonts w:ascii="Times New Roman" w:hAnsi="Times New Roman"/>
          <w:sz w:val="24"/>
          <w:szCs w:val="24"/>
        </w:rPr>
        <w:t>spraw z zakresu błędu</w:t>
      </w:r>
      <w:r>
        <w:rPr>
          <w:rFonts w:ascii="Times New Roman" w:hAnsi="Times New Roman"/>
          <w:sz w:val="24"/>
          <w:szCs w:val="24"/>
        </w:rPr>
        <w:t xml:space="preserve"> medycznego, zapoznanie z metodyką postępowania przygotowawczego w sprawach z tego zakresu</w:t>
      </w:r>
      <w:r w:rsidR="00F713E7">
        <w:rPr>
          <w:rFonts w:ascii="Times New Roman" w:hAnsi="Times New Roman"/>
          <w:sz w:val="24"/>
          <w:szCs w:val="24"/>
        </w:rPr>
        <w:t xml:space="preserve"> oraz przesłankami i warunkami występowania z wnioskiem o zwolnienie z tajemnicy </w:t>
      </w:r>
      <w:r w:rsidR="003C4326">
        <w:rPr>
          <w:rFonts w:ascii="Times New Roman" w:hAnsi="Times New Roman"/>
          <w:sz w:val="24"/>
          <w:szCs w:val="24"/>
        </w:rPr>
        <w:t xml:space="preserve">zawodowej; sporządzanie projektów postanowień </w:t>
      </w:r>
      <w:r w:rsidR="003C4326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="003C4326">
        <w:rPr>
          <w:rFonts w:ascii="Times New Roman" w:hAnsi="Times New Roman"/>
          <w:sz w:val="24"/>
          <w:szCs w:val="24"/>
        </w:rPr>
        <w:t>o powołaniu biegłego medyka sądowego w sprawach o błąd medyczny</w:t>
      </w:r>
      <w:r w:rsidR="00F713E7">
        <w:rPr>
          <w:rFonts w:ascii="Times New Roman" w:hAnsi="Times New Roman"/>
          <w:sz w:val="24"/>
          <w:szCs w:val="24"/>
        </w:rPr>
        <w:t>.</w:t>
      </w:r>
    </w:p>
    <w:p w:rsidR="00F830E0" w:rsidRPr="00583D7C" w:rsidRDefault="00F830E0" w:rsidP="00F830E0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113FBA">
        <w:rPr>
          <w:rFonts w:ascii="Times New Roman" w:hAnsi="Times New Roman"/>
          <w:sz w:val="24"/>
          <w:szCs w:val="24"/>
        </w:rPr>
        <w:t>Powyższe nie wyklucza możliwości powierzania aplikantom również innych zadań wynikających z normalnego toku pracy prokuratorskiej, a zwłaszcza takich, z którymi aplikanci dotychczas jeszcze się nie zetknęli</w:t>
      </w:r>
      <w:r>
        <w:rPr>
          <w:rFonts w:ascii="Times New Roman" w:hAnsi="Times New Roman"/>
          <w:sz w:val="24"/>
          <w:szCs w:val="24"/>
        </w:rPr>
        <w:t>,</w:t>
      </w:r>
      <w:r w:rsidR="00F713E7">
        <w:rPr>
          <w:rFonts w:ascii="Times New Roman" w:hAnsi="Times New Roman"/>
          <w:sz w:val="24"/>
          <w:szCs w:val="24"/>
        </w:rPr>
        <w:t xml:space="preserve"> </w:t>
      </w:r>
      <w:r w:rsidRPr="00113FBA">
        <w:rPr>
          <w:rFonts w:ascii="Times New Roman" w:hAnsi="Times New Roman"/>
          <w:sz w:val="24"/>
          <w:szCs w:val="24"/>
        </w:rPr>
        <w:t>lub w których nie uczestniczyli.</w:t>
      </w:r>
    </w:p>
    <w:p w:rsidR="00F830E0" w:rsidRPr="00583D7C" w:rsidRDefault="00F830E0" w:rsidP="00F713E7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583D7C">
        <w:rPr>
          <w:rFonts w:ascii="Times New Roman" w:hAnsi="Times New Roman"/>
          <w:sz w:val="24"/>
          <w:szCs w:val="24"/>
        </w:rPr>
        <w:t>Uprzejmie informuję, że przedmiotem sprawdzianu, który aplikanci będą pisać po odbyciu praktyk po XI</w:t>
      </w:r>
      <w:r>
        <w:rPr>
          <w:rFonts w:ascii="Times New Roman" w:hAnsi="Times New Roman"/>
          <w:sz w:val="24"/>
          <w:szCs w:val="24"/>
        </w:rPr>
        <w:t>I</w:t>
      </w:r>
      <w:r w:rsidR="00F713E7">
        <w:rPr>
          <w:rFonts w:ascii="Times New Roman" w:hAnsi="Times New Roman"/>
          <w:sz w:val="24"/>
          <w:szCs w:val="24"/>
        </w:rPr>
        <w:t>I</w:t>
      </w:r>
      <w:r w:rsidRPr="00583D7C">
        <w:rPr>
          <w:rFonts w:ascii="Times New Roman" w:hAnsi="Times New Roman"/>
          <w:sz w:val="24"/>
          <w:szCs w:val="24"/>
        </w:rPr>
        <w:t xml:space="preserve"> zjeździe (na początku XI</w:t>
      </w:r>
      <w:r w:rsidR="00F713E7">
        <w:rPr>
          <w:rFonts w:ascii="Times New Roman" w:hAnsi="Times New Roman"/>
          <w:sz w:val="24"/>
          <w:szCs w:val="24"/>
        </w:rPr>
        <w:t>V</w:t>
      </w:r>
      <w:r w:rsidRPr="00583D7C">
        <w:rPr>
          <w:rFonts w:ascii="Times New Roman" w:hAnsi="Times New Roman"/>
          <w:sz w:val="24"/>
          <w:szCs w:val="24"/>
        </w:rPr>
        <w:t xml:space="preserve"> zjazdu, tj. w dniu </w:t>
      </w:r>
      <w:r w:rsidR="00F713E7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maja</w:t>
      </w:r>
      <w:r w:rsidRPr="00583D7C">
        <w:rPr>
          <w:rFonts w:ascii="Times New Roman" w:hAnsi="Times New Roman"/>
          <w:sz w:val="24"/>
          <w:szCs w:val="24"/>
        </w:rPr>
        <w:t xml:space="preserve"> 2019 roku) będzie </w:t>
      </w:r>
      <w:r w:rsidR="00F713E7">
        <w:rPr>
          <w:rFonts w:ascii="Times New Roman" w:hAnsi="Times New Roman"/>
          <w:sz w:val="24"/>
          <w:szCs w:val="24"/>
        </w:rPr>
        <w:t>sporządzenie – stosownie do dokonanej przez aplikanta oceny przedłożonych mu materiałów – projektu postanowienia o umorzeniu postępowania przygotowawczego albo aktu oskarżenia w sprawie, w której zasięgnięto opinii biegłego z zakresu medycyny sądowej; postanowienie i akt oskarżenia powinny zawierać uzasadnienie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83D7C">
        <w:rPr>
          <w:rFonts w:ascii="Times New Roman" w:hAnsi="Times New Roman"/>
          <w:sz w:val="24"/>
          <w:szCs w:val="24"/>
        </w:rPr>
        <w:t>Dlatego ważnym jest, aby aplikanci podczas pr</w:t>
      </w:r>
      <w:r w:rsidR="00F713E7">
        <w:rPr>
          <w:rFonts w:ascii="Times New Roman" w:hAnsi="Times New Roman"/>
          <w:sz w:val="24"/>
          <w:szCs w:val="24"/>
        </w:rPr>
        <w:t>aktyk opanowali tę umiejętność,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D7C">
        <w:rPr>
          <w:rFonts w:ascii="Times New Roman" w:hAnsi="Times New Roman"/>
          <w:sz w:val="24"/>
          <w:szCs w:val="24"/>
        </w:rPr>
        <w:t>w jak najwyższym stopniu.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830E0" w:rsidRPr="00F713E7" w:rsidRDefault="00F830E0" w:rsidP="00F713E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713E7">
        <w:rPr>
          <w:rFonts w:ascii="Times New Roman" w:hAnsi="Times New Roman"/>
          <w:b/>
          <w:sz w:val="24"/>
          <w:szCs w:val="24"/>
        </w:rPr>
        <w:t>Kierownik</w:t>
      </w:r>
    </w:p>
    <w:p w:rsidR="00F830E0" w:rsidRPr="00F713E7" w:rsidRDefault="00F830E0" w:rsidP="00F713E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713E7">
        <w:rPr>
          <w:rFonts w:ascii="Times New Roman" w:hAnsi="Times New Roman"/>
          <w:b/>
          <w:sz w:val="24"/>
          <w:szCs w:val="24"/>
        </w:rPr>
        <w:t>Działu Dydaktycznego</w:t>
      </w:r>
    </w:p>
    <w:p w:rsidR="00F830E0" w:rsidRPr="00F713E7" w:rsidRDefault="00F830E0" w:rsidP="00F713E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713E7">
        <w:rPr>
          <w:rFonts w:ascii="Times New Roman" w:hAnsi="Times New Roman"/>
          <w:b/>
          <w:sz w:val="24"/>
          <w:szCs w:val="24"/>
        </w:rPr>
        <w:t>w Ośrodku Aplikacji Prokuratorskiej</w:t>
      </w:r>
    </w:p>
    <w:p w:rsidR="00F830E0" w:rsidRPr="00F713E7" w:rsidRDefault="00F830E0" w:rsidP="00F713E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713E7">
        <w:rPr>
          <w:rFonts w:ascii="Times New Roman" w:hAnsi="Times New Roman"/>
          <w:b/>
          <w:sz w:val="24"/>
          <w:szCs w:val="24"/>
        </w:rPr>
        <w:t>Krajowej Szkoły Sądownictwa i Prokuratury</w:t>
      </w:r>
    </w:p>
    <w:p w:rsidR="00F830E0" w:rsidRPr="00583D7C" w:rsidRDefault="00F830E0" w:rsidP="00F713E7">
      <w:pPr>
        <w:spacing w:after="0" w:line="36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F830E0" w:rsidRPr="001A3A3F" w:rsidRDefault="00F713E7" w:rsidP="00F713E7">
      <w:pPr>
        <w:spacing w:after="0" w:line="240" w:lineRule="auto"/>
        <w:ind w:left="720"/>
        <w:jc w:val="center"/>
        <w:rPr>
          <w:rFonts w:ascii="Monotype Corsiva" w:hAnsi="Monotype Corsiva"/>
          <w:b/>
          <w:sz w:val="24"/>
          <w:szCs w:val="24"/>
        </w:rPr>
      </w:pPr>
      <w:r>
        <w:rPr>
          <w:rFonts w:ascii="Monotype Corsiva" w:hAnsi="Monotype Corsiva"/>
          <w:b/>
          <w:sz w:val="24"/>
          <w:szCs w:val="24"/>
        </w:rPr>
        <w:t xml:space="preserve">    </w:t>
      </w:r>
      <w:r w:rsidR="00F830E0" w:rsidRPr="001A3A3F">
        <w:rPr>
          <w:rFonts w:ascii="Monotype Corsiva" w:hAnsi="Monotype Corsiva"/>
          <w:b/>
          <w:sz w:val="24"/>
          <w:szCs w:val="24"/>
        </w:rPr>
        <w:t>Beata Padło</w:t>
      </w:r>
    </w:p>
    <w:p w:rsidR="000B4076" w:rsidRPr="00A9632B" w:rsidRDefault="00F830E0" w:rsidP="00F713E7">
      <w:pPr>
        <w:spacing w:after="0" w:line="240" w:lineRule="auto"/>
        <w:ind w:left="720"/>
        <w:jc w:val="both"/>
      </w:pPr>
      <w:r w:rsidRPr="00824ED8">
        <w:rPr>
          <w:rFonts w:ascii="Times New Roman" w:hAnsi="Times New Roman"/>
        </w:rPr>
        <w:t xml:space="preserve">                                                          </w:t>
      </w:r>
      <w:r>
        <w:rPr>
          <w:rFonts w:ascii="Times New Roman" w:hAnsi="Times New Roman"/>
        </w:rPr>
        <w:t xml:space="preserve">   </w:t>
      </w:r>
      <w:r w:rsidRPr="00824ED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824ED8">
        <w:rPr>
          <w:rFonts w:ascii="Times New Roman" w:hAnsi="Times New Roman"/>
        </w:rPr>
        <w:t xml:space="preserve">  Prokurator</w:t>
      </w:r>
    </w:p>
    <w:sectPr w:rsidR="000B4076" w:rsidRPr="00A9632B" w:rsidSect="001D1A57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F9C" w:rsidRDefault="00044F9C">
      <w:pPr>
        <w:spacing w:after="0" w:line="240" w:lineRule="auto"/>
      </w:pPr>
      <w:r>
        <w:separator/>
      </w:r>
    </w:p>
  </w:endnote>
  <w:endnote w:type="continuationSeparator" w:id="0">
    <w:p w:rsidR="00044F9C" w:rsidRDefault="0004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F9C" w:rsidRDefault="00044F9C">
      <w:pPr>
        <w:spacing w:after="0" w:line="240" w:lineRule="auto"/>
      </w:pPr>
      <w:r>
        <w:separator/>
      </w:r>
    </w:p>
  </w:footnote>
  <w:footnote w:type="continuationSeparator" w:id="0">
    <w:p w:rsidR="00044F9C" w:rsidRDefault="0004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AEA" w:rsidRDefault="00541E9D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="003C4326">
      <w:rPr>
        <w:noProof/>
      </w:rPr>
      <w:t>3</w:t>
    </w:r>
    <w:r>
      <w:fldChar w:fldCharType="end"/>
    </w:r>
  </w:p>
  <w:p w:rsidR="00DB7AEA" w:rsidRDefault="00044F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AEA" w:rsidRPr="00162921" w:rsidRDefault="00541E9D" w:rsidP="001D1A57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eastAsia="Times New Roman" w:hAnsi="Century Gothic" w:cs="Shruti"/>
        <w:spacing w:val="20"/>
        <w:sz w:val="30"/>
        <w:szCs w:val="3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6EC9B28" wp14:editId="0E091CF5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2921">
      <w:rPr>
        <w:rFonts w:ascii="Century Gothic" w:eastAsia="Times New Roman" w:hAnsi="Century Gothic" w:cs="Shruti"/>
        <w:spacing w:val="20"/>
        <w:sz w:val="30"/>
        <w:szCs w:val="30"/>
        <w:lang w:eastAsia="pl-PL"/>
      </w:rPr>
      <w:t xml:space="preserve"> </w:t>
    </w:r>
  </w:p>
  <w:p w:rsidR="00DB7AEA" w:rsidRPr="00162921" w:rsidRDefault="00044F9C" w:rsidP="001D1A57">
    <w:pPr>
      <w:tabs>
        <w:tab w:val="center" w:pos="4536"/>
        <w:tab w:val="right" w:pos="9072"/>
      </w:tabs>
      <w:spacing w:after="0" w:line="240" w:lineRule="auto"/>
      <w:ind w:right="4959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</w:p>
  <w:p w:rsidR="00DB7AEA" w:rsidRPr="00162921" w:rsidRDefault="00044F9C" w:rsidP="001D1A57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8"/>
        <w:szCs w:val="8"/>
        <w:lang w:eastAsia="pl-PL"/>
      </w:rPr>
    </w:pPr>
  </w:p>
  <w:p w:rsidR="00DB7AEA" w:rsidRPr="00162921" w:rsidRDefault="00541E9D" w:rsidP="001D1A57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  <w:r w:rsidRPr="00162921">
      <w:rPr>
        <w:rFonts w:ascii="Times New Roman" w:eastAsia="Times New Roman" w:hAnsi="Times New Roman"/>
        <w:b/>
        <w:sz w:val="24"/>
        <w:szCs w:val="24"/>
        <w:lang w:eastAsia="pl-PL"/>
      </w:rPr>
      <w:t>KRAJOWA SZKOŁA</w:t>
    </w:r>
  </w:p>
  <w:p w:rsidR="00DB7AEA" w:rsidRPr="00162921" w:rsidRDefault="00541E9D" w:rsidP="001D1A57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  <w:r w:rsidRPr="00162921">
      <w:rPr>
        <w:rFonts w:ascii="Times New Roman" w:eastAsia="Times New Roman" w:hAnsi="Times New Roman"/>
        <w:b/>
        <w:sz w:val="24"/>
        <w:szCs w:val="24"/>
        <w:lang w:eastAsia="pl-PL"/>
      </w:rPr>
      <w:t>SĄDOWNICTWA I PROKURATURY</w:t>
    </w:r>
  </w:p>
  <w:p w:rsidR="00DB7AEA" w:rsidRDefault="00044F9C">
    <w:pPr>
      <w:pStyle w:val="Nagwek"/>
    </w:pPr>
  </w:p>
  <w:p w:rsidR="00DB7AEA" w:rsidRDefault="00044F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1E05"/>
    <w:multiLevelType w:val="hybridMultilevel"/>
    <w:tmpl w:val="B74EC4CC"/>
    <w:lvl w:ilvl="0" w:tplc="6094624A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EF2820"/>
    <w:multiLevelType w:val="hybridMultilevel"/>
    <w:tmpl w:val="3DC65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EC6257"/>
    <w:multiLevelType w:val="hybridMultilevel"/>
    <w:tmpl w:val="B00A2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96A21"/>
    <w:multiLevelType w:val="hybridMultilevel"/>
    <w:tmpl w:val="C84ECFF6"/>
    <w:lvl w:ilvl="0" w:tplc="754EC13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515C4E"/>
    <w:multiLevelType w:val="hybridMultilevel"/>
    <w:tmpl w:val="D286D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DF17B5"/>
    <w:multiLevelType w:val="hybridMultilevel"/>
    <w:tmpl w:val="EE9A3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BA"/>
    <w:rsid w:val="00044F9C"/>
    <w:rsid w:val="000B4076"/>
    <w:rsid w:val="001E44DE"/>
    <w:rsid w:val="00263AE2"/>
    <w:rsid w:val="003C4326"/>
    <w:rsid w:val="004C0E6B"/>
    <w:rsid w:val="00541E9D"/>
    <w:rsid w:val="00A877BA"/>
    <w:rsid w:val="00A9632B"/>
    <w:rsid w:val="00D270B2"/>
    <w:rsid w:val="00F713E7"/>
    <w:rsid w:val="00F813B6"/>
    <w:rsid w:val="00F8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32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7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7B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C0E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32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7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7B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C0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884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Marta Zin</cp:lastModifiedBy>
  <cp:revision>4</cp:revision>
  <cp:lastPrinted>2019-03-08T10:51:00Z</cp:lastPrinted>
  <dcterms:created xsi:type="dcterms:W3CDTF">2019-03-07T11:39:00Z</dcterms:created>
  <dcterms:modified xsi:type="dcterms:W3CDTF">2019-03-08T11:00:00Z</dcterms:modified>
</cp:coreProperties>
</file>