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0EED" w14:textId="77777777" w:rsidR="000E0B2C" w:rsidRDefault="009E2EC7" w:rsidP="0049565F">
      <w:pPr>
        <w:spacing w:line="312" w:lineRule="auto"/>
        <w:jc w:val="righ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Załącznik nr 4 do SWZ</w:t>
      </w:r>
    </w:p>
    <w:p w14:paraId="08916D46" w14:textId="77777777" w:rsidR="000E0B2C" w:rsidRDefault="000E0B2C">
      <w:pPr>
        <w:spacing w:line="312" w:lineRule="auto"/>
        <w:ind w:left="5664" w:firstLine="708"/>
        <w:jc w:val="both"/>
        <w:rPr>
          <w:rFonts w:ascii="Cambria" w:hAnsi="Cambria"/>
          <w:b/>
          <w:bCs/>
          <w:sz w:val="22"/>
        </w:rPr>
      </w:pPr>
    </w:p>
    <w:p w14:paraId="4E19BB5E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18BD233B" w14:textId="77777777" w:rsidR="0049565F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</w:p>
    <w:p w14:paraId="4C35F40B" w14:textId="2AFD480E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i Prokuratury</w:t>
      </w:r>
    </w:p>
    <w:p w14:paraId="4CE01D3E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4CCEA5CB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2EBB4785" w14:textId="77777777" w:rsidR="000E0B2C" w:rsidRDefault="009E2EC7">
      <w:pPr>
        <w:spacing w:line="312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Wykonawca:</w:t>
      </w:r>
    </w:p>
    <w:p w14:paraId="61B38CEF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4032A1F0" w14:textId="77777777" w:rsidR="000E0B2C" w:rsidRDefault="009E2EC7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</w:p>
    <w:p w14:paraId="717B4A5A" w14:textId="77777777" w:rsidR="000E0B2C" w:rsidRDefault="009E2EC7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21E05A8E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36FEB6CE" w14:textId="77777777" w:rsidR="000E0B2C" w:rsidRDefault="009E2EC7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64B7BFAC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78410438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714BD745" w14:textId="77777777" w:rsidR="000E0B2C" w:rsidRDefault="009E2EC7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OŚWIADCZENIE WYKONAWCY</w:t>
      </w:r>
    </w:p>
    <w:p w14:paraId="058E66E2" w14:textId="77777777" w:rsidR="000E0B2C" w:rsidRDefault="009E2EC7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składane na podstawie art. 125 ust. 1 ustawy z dnia 11 września 2019 r.  Prawo zamówień publicznych (Dz.U. poz. 2019 ze zm.)  o niepodleganiu wykluczeniu, spełnieniu warunków udziału w postępowaniu.</w:t>
      </w:r>
    </w:p>
    <w:p w14:paraId="430DA679" w14:textId="72C25F9B" w:rsidR="000E0B2C" w:rsidRPr="005800AF" w:rsidRDefault="009E2EC7" w:rsidP="005800AF">
      <w:pPr>
        <w:spacing w:line="312" w:lineRule="auto"/>
        <w:jc w:val="both"/>
        <w:rPr>
          <w:rFonts w:ascii="Cambria" w:hAnsi="Cambria"/>
          <w:b/>
          <w:szCs w:val="24"/>
        </w:rPr>
      </w:pPr>
      <w:r>
        <w:rPr>
          <w:rFonts w:ascii="Cambria" w:hAnsi="Cambria" w:cs="Arial"/>
          <w:szCs w:val="24"/>
        </w:rPr>
        <w:t>Na potrzeby postępowania o ud</w:t>
      </w:r>
      <w:r w:rsidR="003C7559">
        <w:rPr>
          <w:rFonts w:ascii="Cambria" w:hAnsi="Cambria" w:cs="Arial"/>
          <w:szCs w:val="24"/>
        </w:rPr>
        <w:t xml:space="preserve">zielenie zamówienia publicznego </w:t>
      </w:r>
      <w:r>
        <w:rPr>
          <w:rFonts w:ascii="Cambria" w:hAnsi="Cambria" w:cs="Arial"/>
          <w:szCs w:val="24"/>
        </w:rPr>
        <w:t xml:space="preserve">pn. </w:t>
      </w:r>
      <w:r w:rsidR="005800AF" w:rsidRPr="005800AF">
        <w:rPr>
          <w:rFonts w:ascii="Cambria" w:hAnsi="Cambria"/>
          <w:b/>
          <w:szCs w:val="24"/>
        </w:rPr>
        <w:t>Świadczenie usług cateringowych na rz</w:t>
      </w:r>
      <w:r w:rsidR="005800AF">
        <w:rPr>
          <w:rFonts w:ascii="Cambria" w:hAnsi="Cambria"/>
          <w:b/>
          <w:szCs w:val="24"/>
        </w:rPr>
        <w:t xml:space="preserve">ecz Krajowej Szkoły Sądownictwa </w:t>
      </w:r>
      <w:r w:rsidR="005800AF" w:rsidRPr="005800AF">
        <w:rPr>
          <w:rFonts w:ascii="Cambria" w:hAnsi="Cambria"/>
          <w:b/>
          <w:szCs w:val="24"/>
        </w:rPr>
        <w:t>i Prokuratury w trakcie wydarzeń realizowanych w 2021 r. przez O</w:t>
      </w:r>
      <w:r w:rsidR="005800AF">
        <w:rPr>
          <w:rFonts w:ascii="Cambria" w:hAnsi="Cambria"/>
          <w:b/>
          <w:szCs w:val="24"/>
        </w:rPr>
        <w:t>środek Szkolenia Ustawicznego i </w:t>
      </w:r>
      <w:r w:rsidR="005800AF" w:rsidRPr="005800AF">
        <w:rPr>
          <w:rFonts w:ascii="Cambria" w:hAnsi="Cambria"/>
          <w:b/>
          <w:szCs w:val="24"/>
        </w:rPr>
        <w:t>Współpracy Międzynarodowej w Lublinie</w:t>
      </w:r>
      <w:r>
        <w:rPr>
          <w:rFonts w:ascii="Cambria" w:hAnsi="Cambria"/>
          <w:b/>
          <w:i/>
          <w:szCs w:val="24"/>
        </w:rPr>
        <w:t xml:space="preserve"> </w:t>
      </w:r>
      <w:bookmarkStart w:id="0" w:name="_GoBack"/>
      <w:r w:rsidR="00D4145A" w:rsidRPr="00D4145A">
        <w:rPr>
          <w:rFonts w:ascii="Cambria" w:hAnsi="Cambria"/>
          <w:szCs w:val="24"/>
        </w:rPr>
        <w:t>z</w:t>
      </w:r>
      <w:bookmarkEnd w:id="0"/>
      <w:r w:rsidR="00D4145A" w:rsidRPr="00D4145A">
        <w:rPr>
          <w:rFonts w:ascii="Cambria" w:hAnsi="Cambria"/>
          <w:szCs w:val="24"/>
        </w:rPr>
        <w:t>n</w:t>
      </w:r>
      <w:r w:rsidR="00D4145A">
        <w:rPr>
          <w:rFonts w:ascii="Cambria" w:hAnsi="Cambria"/>
          <w:szCs w:val="24"/>
        </w:rPr>
        <w:t>ak sprawy</w:t>
      </w:r>
      <w:r>
        <w:rPr>
          <w:rFonts w:ascii="Cambria" w:hAnsi="Cambria"/>
          <w:szCs w:val="24"/>
        </w:rPr>
        <w:t xml:space="preserve">: </w:t>
      </w:r>
      <w:r>
        <w:rPr>
          <w:rFonts w:ascii="Cambria" w:hAnsi="Cambria"/>
          <w:b/>
          <w:szCs w:val="24"/>
        </w:rPr>
        <w:t>BA-X.2611.2.2021</w:t>
      </w:r>
      <w:r>
        <w:rPr>
          <w:rFonts w:ascii="Cambria" w:hAnsi="Cambria" w:cs="Arial"/>
          <w:i/>
          <w:szCs w:val="24"/>
        </w:rPr>
        <w:t xml:space="preserve">, </w:t>
      </w:r>
      <w:r>
        <w:rPr>
          <w:rFonts w:ascii="Cambria" w:hAnsi="Cambria" w:cs="Arial"/>
          <w:szCs w:val="24"/>
        </w:rPr>
        <w:t>oświadczam, co następuje:</w:t>
      </w:r>
    </w:p>
    <w:p w14:paraId="7DB83689" w14:textId="77777777" w:rsidR="000E0B2C" w:rsidRDefault="000E0B2C">
      <w:pPr>
        <w:spacing w:line="312" w:lineRule="auto"/>
        <w:jc w:val="both"/>
        <w:rPr>
          <w:rFonts w:ascii="Cambria" w:hAnsi="Cambria" w:cs="Arial"/>
          <w:szCs w:val="24"/>
        </w:rPr>
      </w:pPr>
    </w:p>
    <w:p w14:paraId="1F112A05" w14:textId="77777777" w:rsidR="000E0B2C" w:rsidRDefault="009E2EC7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nie podlegam wykluczeniu z postępowania na podstawie art. 108 ust 1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>,</w:t>
      </w:r>
    </w:p>
    <w:p w14:paraId="7085CC38" w14:textId="77777777" w:rsidR="000E0B2C" w:rsidRDefault="009E2EC7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spełniam warunki udziału w postępowaniu określone przez Zamawiającego w Rozdziale 6 SWZ. </w:t>
      </w:r>
    </w:p>
    <w:p w14:paraId="57F86858" w14:textId="77777777" w:rsidR="000E0B2C" w:rsidRDefault="000E0B2C">
      <w:pPr>
        <w:spacing w:line="276" w:lineRule="auto"/>
        <w:jc w:val="both"/>
        <w:rPr>
          <w:rFonts w:ascii="Cambria" w:hAnsi="Cambria" w:cs="Arial"/>
          <w:szCs w:val="24"/>
        </w:rPr>
      </w:pPr>
    </w:p>
    <w:p w14:paraId="6FC7D64D" w14:textId="671B19A4" w:rsidR="000E0B2C" w:rsidRDefault="009E2EC7">
      <w:pPr>
        <w:spacing w:line="276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(</w:t>
      </w:r>
      <w:r w:rsidR="00F260B0" w:rsidRPr="00F260B0">
        <w:rPr>
          <w:rFonts w:ascii="Cambria" w:hAnsi="Cambria" w:cs="Arial"/>
          <w:b/>
          <w:szCs w:val="24"/>
        </w:rPr>
        <w:t>należy podać</w:t>
      </w:r>
      <w:r w:rsidRPr="00F260B0">
        <w:rPr>
          <w:rFonts w:ascii="Cambria" w:hAnsi="Cambria" w:cs="Arial"/>
          <w:b/>
          <w:szCs w:val="24"/>
        </w:rPr>
        <w:t xml:space="preserve"> podstawę wykluczenia z art. 108 ust. 1 ustawy </w:t>
      </w:r>
      <w:proofErr w:type="spellStart"/>
      <w:r w:rsidRPr="00F260B0">
        <w:rPr>
          <w:rFonts w:ascii="Cambria" w:hAnsi="Cambria" w:cs="Arial"/>
          <w:b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>)</w:t>
      </w:r>
      <w:r w:rsidR="00F260B0">
        <w:rPr>
          <w:rStyle w:val="Odwoanieprzypisudolnego"/>
          <w:rFonts w:ascii="Cambria" w:hAnsi="Cambria"/>
          <w:szCs w:val="24"/>
        </w:rPr>
        <w:footnoteReference w:id="1"/>
      </w:r>
      <w:r>
        <w:rPr>
          <w:rFonts w:ascii="Cambria" w:hAnsi="Cambria" w:cs="Arial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podjąłe</w:t>
      </w:r>
      <w:r>
        <w:rPr>
          <w:rFonts w:ascii="Cambria" w:hAnsi="Cambria" w:cs="Arial"/>
        </w:rPr>
        <w:t xml:space="preserve">m następujące środki naprawcze: </w:t>
      </w:r>
      <w:r>
        <w:rPr>
          <w:rFonts w:ascii="Cambria" w:hAnsi="Cambria" w:cs="Arial"/>
          <w:szCs w:val="24"/>
        </w:rPr>
        <w:t>…………………………</w:t>
      </w:r>
      <w:r>
        <w:rPr>
          <w:rFonts w:ascii="Cambria" w:hAnsi="Cambria" w:cs="Arial"/>
        </w:rPr>
        <w:t>………………………………………………</w:t>
      </w:r>
    </w:p>
    <w:p w14:paraId="60753C1C" w14:textId="77777777" w:rsidR="000E0B2C" w:rsidRDefault="000E0B2C">
      <w:pPr>
        <w:spacing w:line="312" w:lineRule="auto"/>
        <w:ind w:firstLine="709"/>
        <w:jc w:val="both"/>
        <w:rPr>
          <w:rFonts w:ascii="Cambria" w:hAnsi="Cambria" w:cs="Arial"/>
          <w:sz w:val="22"/>
        </w:rPr>
      </w:pPr>
    </w:p>
    <w:p w14:paraId="0C8FECFF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0883988E" w14:textId="77777777" w:rsidR="000E0B2C" w:rsidRDefault="009E2EC7">
      <w:pPr>
        <w:spacing w:line="312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3B802F9E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3FAF846F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4B786D77" w14:textId="77777777" w:rsidR="000E0B2C" w:rsidRDefault="009E2EC7">
      <w:pPr>
        <w:spacing w:line="312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2"/>
        </w:rPr>
        <w:tab/>
      </w:r>
    </w:p>
    <w:p w14:paraId="660C5195" w14:textId="24AFA9CD" w:rsidR="000E0B2C" w:rsidRPr="0049565F" w:rsidRDefault="0049565F" w:rsidP="0049565F">
      <w:pPr>
        <w:spacing w:line="312" w:lineRule="auto"/>
        <w:jc w:val="right"/>
        <w:rPr>
          <w:rFonts w:ascii="Cambria" w:hAnsi="Cambria"/>
          <w:i/>
          <w:sz w:val="22"/>
        </w:rPr>
      </w:pPr>
      <w:r w:rsidRPr="0049565F">
        <w:rPr>
          <w:rFonts w:ascii="Cambria" w:hAnsi="Cambria"/>
          <w:i/>
          <w:sz w:val="22"/>
        </w:rPr>
        <w:t>[podpis]</w:t>
      </w:r>
    </w:p>
    <w:p w14:paraId="01A2BBCA" w14:textId="77777777" w:rsidR="000E0B2C" w:rsidRDefault="000E0B2C">
      <w:pPr>
        <w:jc w:val="both"/>
        <w:rPr>
          <w:color w:val="FF0000"/>
          <w:sz w:val="22"/>
        </w:rPr>
      </w:pPr>
    </w:p>
    <w:p w14:paraId="5B0AF51F" w14:textId="77777777" w:rsidR="000E0B2C" w:rsidRDefault="000E0B2C">
      <w:pPr>
        <w:jc w:val="both"/>
        <w:rPr>
          <w:color w:val="FF0000"/>
          <w:sz w:val="22"/>
        </w:rPr>
      </w:pPr>
    </w:p>
    <w:p w14:paraId="4E6A7DB4" w14:textId="77777777" w:rsidR="000E0B2C" w:rsidRDefault="000E0B2C">
      <w:pPr>
        <w:jc w:val="both"/>
        <w:rPr>
          <w:color w:val="FF0000"/>
          <w:sz w:val="22"/>
        </w:rPr>
      </w:pPr>
    </w:p>
    <w:p w14:paraId="666546B8" w14:textId="77777777" w:rsidR="000E0B2C" w:rsidRDefault="000E0B2C">
      <w:pPr>
        <w:jc w:val="both"/>
        <w:rPr>
          <w:color w:val="FF0000"/>
          <w:sz w:val="22"/>
        </w:rPr>
      </w:pPr>
    </w:p>
    <w:p w14:paraId="5656E300" w14:textId="77777777" w:rsidR="000E0B2C" w:rsidRDefault="009E2EC7">
      <w:pPr>
        <w:jc w:val="both"/>
        <w:rPr>
          <w:color w:val="FF0000"/>
          <w:sz w:val="22"/>
        </w:rPr>
      </w:pPr>
      <w:r>
        <w:rPr>
          <w:color w:val="FF0000"/>
          <w:sz w:val="22"/>
        </w:rPr>
        <w:t>UWAGA: w przypadku wspólnego ubiegania się o zamówienie przez wykonawców (konsorcjum, spółka cywilna),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5E4F4EE4" w14:textId="77777777" w:rsidR="000E0B2C" w:rsidRDefault="000E0B2C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23925D24" w14:textId="77777777" w:rsidR="000E0B2C" w:rsidRDefault="000E0B2C"/>
    <w:p w14:paraId="410BFF87" w14:textId="77777777" w:rsidR="000E0B2C" w:rsidRDefault="000E0B2C"/>
    <w:p w14:paraId="0456A288" w14:textId="77777777" w:rsidR="000E0B2C" w:rsidRDefault="000E0B2C"/>
    <w:p w14:paraId="0AA5EFA3" w14:textId="77777777" w:rsidR="000E0B2C" w:rsidRDefault="000E0B2C"/>
    <w:p w14:paraId="1AE6E47C" w14:textId="77777777" w:rsidR="000E0B2C" w:rsidRDefault="000E0B2C">
      <w:pPr>
        <w:rPr>
          <w:color w:val="FF0000"/>
        </w:rPr>
      </w:pPr>
    </w:p>
    <w:p w14:paraId="26D8193A" w14:textId="77777777" w:rsidR="000E0B2C" w:rsidRDefault="000E0B2C">
      <w:pPr>
        <w:rPr>
          <w:color w:val="FF0000"/>
        </w:rPr>
      </w:pPr>
    </w:p>
    <w:p w14:paraId="4B4C980B" w14:textId="77777777" w:rsidR="000E0B2C" w:rsidRDefault="000E0B2C">
      <w:pPr>
        <w:rPr>
          <w:color w:val="FF0000"/>
        </w:rPr>
      </w:pPr>
    </w:p>
    <w:p w14:paraId="5471ACE5" w14:textId="77777777" w:rsidR="000E0B2C" w:rsidRDefault="000E0B2C">
      <w:pPr>
        <w:rPr>
          <w:color w:val="FF0000"/>
        </w:rPr>
      </w:pPr>
    </w:p>
    <w:p w14:paraId="2802B14C" w14:textId="77777777" w:rsidR="000E0B2C" w:rsidRDefault="000E0B2C">
      <w:pPr>
        <w:rPr>
          <w:color w:val="FF0000"/>
        </w:rPr>
      </w:pPr>
    </w:p>
    <w:p w14:paraId="0A587DDD" w14:textId="77777777" w:rsidR="000E0B2C" w:rsidRDefault="000E0B2C">
      <w:pPr>
        <w:rPr>
          <w:color w:val="FF0000"/>
        </w:rPr>
      </w:pPr>
    </w:p>
    <w:p w14:paraId="7FE1452C" w14:textId="77777777" w:rsidR="000E0B2C" w:rsidRDefault="000E0B2C">
      <w:pPr>
        <w:rPr>
          <w:color w:val="FF0000"/>
        </w:rPr>
      </w:pPr>
    </w:p>
    <w:p w14:paraId="0027AA8A" w14:textId="77777777" w:rsidR="000E0B2C" w:rsidRDefault="000E0B2C">
      <w:pPr>
        <w:rPr>
          <w:color w:val="FF0000"/>
        </w:rPr>
      </w:pPr>
    </w:p>
    <w:p w14:paraId="0CC625DC" w14:textId="77777777" w:rsidR="000E0B2C" w:rsidRDefault="000E0B2C">
      <w:pPr>
        <w:rPr>
          <w:color w:val="FF0000"/>
        </w:rPr>
      </w:pPr>
    </w:p>
    <w:p w14:paraId="28A72578" w14:textId="77777777" w:rsidR="000E0B2C" w:rsidRDefault="000E0B2C">
      <w:pPr>
        <w:rPr>
          <w:color w:val="FF0000"/>
        </w:rPr>
      </w:pPr>
    </w:p>
    <w:p w14:paraId="2F552575" w14:textId="77777777" w:rsidR="000E0B2C" w:rsidRDefault="000E0B2C">
      <w:pPr>
        <w:rPr>
          <w:color w:val="FF0000"/>
        </w:rPr>
      </w:pPr>
    </w:p>
    <w:p w14:paraId="708ABEEC" w14:textId="77777777" w:rsidR="000E0B2C" w:rsidRDefault="000E0B2C">
      <w:pPr>
        <w:rPr>
          <w:color w:val="FF0000"/>
        </w:rPr>
      </w:pPr>
    </w:p>
    <w:p w14:paraId="15CB5BE3" w14:textId="77777777" w:rsidR="000E0B2C" w:rsidRDefault="000E0B2C">
      <w:pPr>
        <w:rPr>
          <w:color w:val="FF0000"/>
        </w:rPr>
      </w:pPr>
    </w:p>
    <w:p w14:paraId="3590BDCD" w14:textId="77777777" w:rsidR="000E0B2C" w:rsidRDefault="000E0B2C">
      <w:pPr>
        <w:rPr>
          <w:color w:val="FF0000"/>
        </w:rPr>
      </w:pPr>
    </w:p>
    <w:p w14:paraId="0CCE2D01" w14:textId="77777777" w:rsidR="000E0B2C" w:rsidRDefault="000E0B2C">
      <w:pPr>
        <w:rPr>
          <w:color w:val="FF0000"/>
        </w:rPr>
      </w:pPr>
    </w:p>
    <w:p w14:paraId="5CA1366F" w14:textId="77777777" w:rsidR="000E0B2C" w:rsidRDefault="000E0B2C">
      <w:pPr>
        <w:rPr>
          <w:color w:val="FF0000"/>
        </w:rPr>
      </w:pPr>
    </w:p>
    <w:p w14:paraId="2FB22D92" w14:textId="77777777" w:rsidR="000E0B2C" w:rsidRDefault="000E0B2C">
      <w:pPr>
        <w:rPr>
          <w:color w:val="FF0000"/>
        </w:rPr>
      </w:pPr>
    </w:p>
    <w:p w14:paraId="618B0D6F" w14:textId="77777777" w:rsidR="000E0B2C" w:rsidRDefault="000E0B2C">
      <w:pPr>
        <w:rPr>
          <w:color w:val="FF0000"/>
        </w:rPr>
      </w:pPr>
    </w:p>
    <w:p w14:paraId="2E8F3B89" w14:textId="77777777" w:rsidR="000E0B2C" w:rsidRDefault="000E0B2C">
      <w:pPr>
        <w:rPr>
          <w:color w:val="FF0000"/>
        </w:rPr>
      </w:pPr>
    </w:p>
    <w:p w14:paraId="47EBB2F0" w14:textId="77777777" w:rsidR="000E0B2C" w:rsidRDefault="000E0B2C">
      <w:pPr>
        <w:rPr>
          <w:color w:val="FF0000"/>
        </w:rPr>
      </w:pPr>
    </w:p>
    <w:p w14:paraId="383C758F" w14:textId="77777777" w:rsidR="000E0B2C" w:rsidRDefault="000E0B2C">
      <w:pPr>
        <w:rPr>
          <w:color w:val="FF0000"/>
        </w:rPr>
      </w:pPr>
    </w:p>
    <w:p w14:paraId="0276B6A9" w14:textId="77777777" w:rsidR="000E0B2C" w:rsidRDefault="000E0B2C">
      <w:pPr>
        <w:rPr>
          <w:color w:val="FF0000"/>
        </w:rPr>
      </w:pPr>
    </w:p>
    <w:p w14:paraId="1F4A1E5B" w14:textId="77777777" w:rsidR="000E0B2C" w:rsidRDefault="000E0B2C">
      <w:pPr>
        <w:rPr>
          <w:color w:val="FF0000"/>
        </w:rPr>
      </w:pPr>
    </w:p>
    <w:p w14:paraId="797B3BEF" w14:textId="77777777" w:rsidR="000E0B2C" w:rsidRDefault="000E0B2C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07B73D7C" w14:textId="77777777" w:rsidR="000E0B2C" w:rsidRDefault="000E0B2C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71DCCCF5" w14:textId="77777777" w:rsidR="000E0B2C" w:rsidRDefault="000E0B2C" w:rsidP="003C7559">
      <w:pPr>
        <w:suppressAutoHyphens w:val="0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sectPr w:rsidR="000E0B2C">
      <w:headerReference w:type="default" r:id="rId9"/>
      <w:footerReference w:type="default" r:id="rId10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4AA8" w16cex:dateUtc="2021-04-14T09:04:00Z"/>
  <w16cex:commentExtensible w16cex:durableId="242152D1" w16cex:dateUtc="2021-04-14T09:38:00Z"/>
  <w16cex:commentExtensible w16cex:durableId="24214AEC" w16cex:dateUtc="2021-04-14T09:05:00Z"/>
  <w16cex:commentExtensible w16cex:durableId="24214AFB" w16cex:dateUtc="2021-04-14T09:05:00Z"/>
  <w16cex:commentExtensible w16cex:durableId="24214BB1" w16cex:dateUtc="2021-04-14T09:08:00Z"/>
  <w16cex:commentExtensible w16cex:durableId="24214C11" w16cex:dateUtc="2021-04-14T09:10:00Z"/>
  <w16cex:commentExtensible w16cex:durableId="242151D0" w16cex:dateUtc="2021-04-14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9B9A8" w16cid:durableId="24214AA8"/>
  <w16cid:commentId w16cid:paraId="0EE45CAB" w16cid:durableId="242152D1"/>
  <w16cid:commentId w16cid:paraId="6C92CD0E" w16cid:durableId="2421493D"/>
  <w16cid:commentId w16cid:paraId="5DD04DB0" w16cid:durableId="24214AEC"/>
  <w16cid:commentId w16cid:paraId="3FC0BFD2" w16cid:durableId="2421493E"/>
  <w16cid:commentId w16cid:paraId="4E97868E" w16cid:durableId="24214AFB"/>
  <w16cid:commentId w16cid:paraId="6B6B5C40" w16cid:durableId="2421493F"/>
  <w16cid:commentId w16cid:paraId="0AFCEA94" w16cid:durableId="24214940"/>
  <w16cid:commentId w16cid:paraId="2BC8153B" w16cid:durableId="24214941"/>
  <w16cid:commentId w16cid:paraId="7506C16A" w16cid:durableId="24214BB1"/>
  <w16cid:commentId w16cid:paraId="36E32C9A" w16cid:durableId="24214942"/>
  <w16cid:commentId w16cid:paraId="589D9EAD" w16cid:durableId="24214C11"/>
  <w16cid:commentId w16cid:paraId="713C8A4F" w16cid:durableId="24214943"/>
  <w16cid:commentId w16cid:paraId="30B76672" w16cid:durableId="24214944"/>
  <w16cid:commentId w16cid:paraId="253969BF" w16cid:durableId="24214945"/>
  <w16cid:commentId w16cid:paraId="630B1774" w16cid:durableId="242151D0"/>
  <w16cid:commentId w16cid:paraId="0175B3AD" w16cid:durableId="242149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0CB7" w14:textId="77777777" w:rsidR="007671C9" w:rsidRDefault="007671C9">
      <w:r>
        <w:separator/>
      </w:r>
    </w:p>
  </w:endnote>
  <w:endnote w:type="continuationSeparator" w:id="0">
    <w:p w14:paraId="2AD5EE47" w14:textId="77777777" w:rsidR="007671C9" w:rsidRDefault="007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Segoe UI Symbol"/>
    <w:panose1 w:val="05010000000000000000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0E0B2C" w14:paraId="1703F3F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76B011AC" w14:textId="77777777" w:rsidR="000E0B2C" w:rsidRDefault="000E0B2C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0E0B2C" w14:paraId="2BD48074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BA2EEAA" w14:textId="77777777" w:rsidR="000E0B2C" w:rsidRDefault="009E2EC7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BA-X.2611.2.2021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14AAE147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7A911B62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250B3BE" w14:textId="77777777" w:rsidR="000E0B2C" w:rsidRDefault="000E0B2C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3D0C2C15" w14:textId="77777777" w:rsidR="000E0B2C" w:rsidRDefault="000E0B2C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0DB38934" w14:textId="77777777" w:rsidR="000E0B2C" w:rsidRDefault="009E2E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58C7E763" wp14:editId="0804B3D5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6F30" w14:textId="77777777" w:rsidR="000E0B2C" w:rsidRDefault="009E2EC7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414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75A16F30" w14:textId="77777777" w:rsidR="000E0B2C" w:rsidRDefault="009E2EC7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414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972" w14:textId="77777777" w:rsidR="007671C9" w:rsidRDefault="007671C9">
      <w:r>
        <w:separator/>
      </w:r>
    </w:p>
  </w:footnote>
  <w:footnote w:type="continuationSeparator" w:id="0">
    <w:p w14:paraId="7781D448" w14:textId="77777777" w:rsidR="007671C9" w:rsidRDefault="007671C9">
      <w:r>
        <w:continuationSeparator/>
      </w:r>
    </w:p>
  </w:footnote>
  <w:footnote w:id="1">
    <w:p w14:paraId="15B39DB2" w14:textId="4E875FE2" w:rsidR="00F260B0" w:rsidRDefault="00F260B0" w:rsidP="00F260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60B0">
        <w:rPr>
          <w:rFonts w:ascii="Cambria" w:hAnsi="Cambria"/>
          <w:sz w:val="16"/>
          <w:szCs w:val="16"/>
        </w:rPr>
        <w:t xml:space="preserve">Brak wskazania art. na podstawie którego </w:t>
      </w:r>
      <w:r>
        <w:rPr>
          <w:rFonts w:ascii="Cambria" w:hAnsi="Cambria"/>
          <w:sz w:val="16"/>
          <w:szCs w:val="16"/>
        </w:rPr>
        <w:t>wobec Wykonawcy zachodzą podstawy</w:t>
      </w:r>
      <w:r w:rsidR="00AC4182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wykluczenia</w:t>
      </w:r>
      <w:r w:rsidRPr="00F260B0">
        <w:rPr>
          <w:rFonts w:ascii="Cambria" w:hAnsi="Cambria"/>
          <w:sz w:val="16"/>
          <w:szCs w:val="16"/>
        </w:rPr>
        <w:t>, będzie traktowane przez Zamawiającego, że Wykonawca nie podlega wykluczeniu.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BBD" w14:textId="77777777" w:rsidR="000E0B2C" w:rsidRDefault="009E2E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58EDC2C4" wp14:editId="3455C088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05FA0FC9" w14:textId="77777777" w:rsidR="000E0B2C" w:rsidRDefault="009E2EC7">
    <w:pPr>
      <w:pStyle w:val="Tekstpodstawowy"/>
      <w:jc w:val="center"/>
    </w:pPr>
    <w:r>
      <w:t>ul. Przy Rondzie 5, 31-547 Kraków</w:t>
    </w:r>
  </w:p>
  <w:p w14:paraId="653C463E" w14:textId="77777777" w:rsidR="000E0B2C" w:rsidRDefault="000E0B2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E2"/>
    <w:multiLevelType w:val="multilevel"/>
    <w:tmpl w:val="CCB26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FC6"/>
    <w:multiLevelType w:val="multilevel"/>
    <w:tmpl w:val="3EF47DB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C59"/>
    <w:multiLevelType w:val="multilevel"/>
    <w:tmpl w:val="8AE4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5267"/>
    <w:multiLevelType w:val="multilevel"/>
    <w:tmpl w:val="E7FAF1C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2F5B4B"/>
    <w:multiLevelType w:val="multilevel"/>
    <w:tmpl w:val="21F87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0C"/>
    <w:multiLevelType w:val="multilevel"/>
    <w:tmpl w:val="E560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CE0"/>
    <w:multiLevelType w:val="multilevel"/>
    <w:tmpl w:val="2F9E37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8620E"/>
    <w:multiLevelType w:val="multilevel"/>
    <w:tmpl w:val="091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C6F"/>
    <w:multiLevelType w:val="multilevel"/>
    <w:tmpl w:val="B0309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17F"/>
    <w:multiLevelType w:val="multilevel"/>
    <w:tmpl w:val="DE2AA1B6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53DA"/>
    <w:multiLevelType w:val="multilevel"/>
    <w:tmpl w:val="0CF0C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591768"/>
    <w:multiLevelType w:val="multilevel"/>
    <w:tmpl w:val="6B0E8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487"/>
    <w:multiLevelType w:val="multilevel"/>
    <w:tmpl w:val="ABC0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C80"/>
    <w:multiLevelType w:val="multilevel"/>
    <w:tmpl w:val="AE08143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6E55B4"/>
    <w:multiLevelType w:val="multilevel"/>
    <w:tmpl w:val="3E781024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317C1"/>
    <w:multiLevelType w:val="multilevel"/>
    <w:tmpl w:val="D65E8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C54"/>
    <w:multiLevelType w:val="multilevel"/>
    <w:tmpl w:val="4DF2974C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C"/>
    <w:rsid w:val="000D6928"/>
    <w:rsid w:val="000E0B2C"/>
    <w:rsid w:val="00117631"/>
    <w:rsid w:val="003C7559"/>
    <w:rsid w:val="0049565F"/>
    <w:rsid w:val="005800AF"/>
    <w:rsid w:val="007671C9"/>
    <w:rsid w:val="0086590D"/>
    <w:rsid w:val="009463E5"/>
    <w:rsid w:val="009E2EC7"/>
    <w:rsid w:val="00AC4182"/>
    <w:rsid w:val="00D4145A"/>
    <w:rsid w:val="00F2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888B-1210-4C62-95F2-290C35FF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Andud</dc:creator>
  <dc:description/>
  <cp:lastModifiedBy>szkolenie</cp:lastModifiedBy>
  <cp:revision>8</cp:revision>
  <cp:lastPrinted>2020-12-29T14:58:00Z</cp:lastPrinted>
  <dcterms:created xsi:type="dcterms:W3CDTF">2021-04-14T13:08:00Z</dcterms:created>
  <dcterms:modified xsi:type="dcterms:W3CDTF">2021-04-22T11:15:00Z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