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</w:t>
      </w:r>
      <w:r w:rsidR="003865C6">
        <w:rPr>
          <w:rFonts w:ascii="Calibri" w:hAnsi="Calibri"/>
        </w:rPr>
        <w:t xml:space="preserve">otyczy zapytania ofertowego nr: </w:t>
      </w:r>
      <w:bookmarkStart w:id="0" w:name="_GoBack"/>
      <w:r w:rsidR="003865C6">
        <w:rPr>
          <w:rFonts w:ascii="Calibri" w:hAnsi="Calibri"/>
        </w:rPr>
        <w:t xml:space="preserve">OSU-III-261-1-11/2015 </w:t>
      </w:r>
      <w:bookmarkEnd w:id="0"/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4C6D0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>Udokumentowane doświadczenie zawodowe trenera związane z tematyką przestępczości transgranicznej narkotykowej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przestępczością transgraniczną narkotykową: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z przeprowadzeniem szkoleń dotyczących przestępczości transgranicznej narkotykowej,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3865C6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5C6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C6D0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A36E-D718-4D48-B208-657F88BE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4</cp:revision>
  <cp:lastPrinted>2015-05-22T13:02:00Z</cp:lastPrinted>
  <dcterms:created xsi:type="dcterms:W3CDTF">2015-05-25T06:17:00Z</dcterms:created>
  <dcterms:modified xsi:type="dcterms:W3CDTF">2015-05-26T07:37:00Z</dcterms:modified>
</cp:coreProperties>
</file>