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B9" w:rsidRDefault="009C13B9" w:rsidP="009C13B9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SIWZ</w:t>
      </w:r>
    </w:p>
    <w:p w:rsidR="009C13B9" w:rsidRDefault="009C13B9" w:rsidP="009C13B9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Tahoma" w:hAnsi="Tahoma" w:cs="Tahoma"/>
          <w:color w:val="auto"/>
          <w:sz w:val="24"/>
          <w:szCs w:val="24"/>
        </w:rPr>
      </w:pPr>
    </w:p>
    <w:p w:rsidR="009C13B9" w:rsidRDefault="009C13B9" w:rsidP="009C13B9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Tahoma" w:hAnsi="Tahoma" w:cs="Tahoma"/>
          <w:color w:val="auto"/>
          <w:sz w:val="24"/>
          <w:szCs w:val="24"/>
        </w:rPr>
      </w:pPr>
    </w:p>
    <w:p w:rsidR="009C13B9" w:rsidRDefault="009C13B9" w:rsidP="009C13B9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Tahoma" w:hAnsi="Tahoma" w:cs="Tahoma"/>
          <w:color w:val="auto"/>
          <w:sz w:val="24"/>
          <w:szCs w:val="24"/>
        </w:rPr>
      </w:pPr>
    </w:p>
    <w:p w:rsidR="009C13B9" w:rsidRDefault="009C13B9" w:rsidP="009C13B9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cs="Tahoma"/>
          <w:color w:val="auto"/>
          <w:sz w:val="24"/>
          <w:szCs w:val="24"/>
        </w:rPr>
      </w:pPr>
      <w:r>
        <w:rPr>
          <w:rFonts w:cs="Tahoma"/>
          <w:color w:val="auto"/>
          <w:sz w:val="24"/>
          <w:szCs w:val="24"/>
        </w:rPr>
        <w:t>SZCZEGÓŁOWY OPIS PRZEDMIOTU ZAMÓWIENIA</w:t>
      </w:r>
    </w:p>
    <w:p w:rsidR="009C13B9" w:rsidRDefault="009C13B9" w:rsidP="009C13B9">
      <w:pPr>
        <w:rPr>
          <w:lang w:eastAsia="en-US"/>
        </w:rPr>
      </w:pPr>
    </w:p>
    <w:p w:rsidR="009C13B9" w:rsidRDefault="009C13B9" w:rsidP="009C13B9">
      <w:pPr>
        <w:keepNext/>
        <w:keepLines/>
        <w:shd w:val="clear" w:color="auto" w:fill="FFFFFF"/>
        <w:spacing w:line="360" w:lineRule="auto"/>
        <w:ind w:left="1134" w:hanging="1134"/>
        <w:jc w:val="both"/>
        <w:rPr>
          <w:rFonts w:ascii="Cambria" w:hAnsi="Cambria" w:cs="Tahoma"/>
          <w:b/>
          <w:bCs/>
          <w:iCs/>
        </w:rPr>
      </w:pPr>
      <w:r>
        <w:rPr>
          <w:rFonts w:ascii="Cambria" w:hAnsi="Cambria" w:cs="Tahoma"/>
        </w:rPr>
        <w:t xml:space="preserve">Projekt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  <w:bCs/>
          <w:iCs/>
          <w:spacing w:val="-6"/>
        </w:rPr>
        <w:t>„Szkolenie kadr wymiaru sprawiedliwości i prokuratury w zakresie zwalczania i zapobiegania przestępczości transgranicznej i zorganizowanej”</w:t>
      </w:r>
    </w:p>
    <w:p w:rsidR="009C13B9" w:rsidRDefault="009C13B9" w:rsidP="009C13B9">
      <w:pPr>
        <w:spacing w:line="360" w:lineRule="auto"/>
        <w:ind w:left="1134" w:hanging="1134"/>
        <w:jc w:val="both"/>
        <w:rPr>
          <w:rFonts w:ascii="Cambria" w:hAnsi="Cambria" w:cs="Tahoma"/>
          <w:b/>
        </w:rPr>
      </w:pPr>
    </w:p>
    <w:p w:rsidR="009C13B9" w:rsidRDefault="009C13B9" w:rsidP="009C13B9">
      <w:pPr>
        <w:pStyle w:val="Nagwek3"/>
        <w:tabs>
          <w:tab w:val="left" w:pos="142"/>
        </w:tabs>
        <w:spacing w:line="360" w:lineRule="auto"/>
        <w:ind w:left="1134" w:hanging="1134"/>
        <w:jc w:val="both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sz w:val="24"/>
        </w:rPr>
        <w:t>Program</w:t>
      </w:r>
      <w:r>
        <w:rPr>
          <w:rFonts w:ascii="Cambria" w:hAnsi="Cambria" w:cs="Tahoma"/>
          <w:b/>
          <w:sz w:val="24"/>
        </w:rPr>
        <w:tab/>
      </w:r>
      <w:r>
        <w:rPr>
          <w:rFonts w:ascii="Cambria" w:hAnsi="Cambria" w:cs="Tahoma"/>
          <w:b/>
          <w:spacing w:val="-6"/>
          <w:sz w:val="24"/>
        </w:rPr>
        <w:t>„Współpraca w obszarze Schengen oraz walka z przestępczością transgraniczną i zorganizowaną, w tym przeciwdziałanie handlowi ludźmi oraz migracjom grup przestępczych”</w:t>
      </w:r>
    </w:p>
    <w:p w:rsidR="009C13B9" w:rsidRDefault="009C13B9" w:rsidP="009C13B9">
      <w:pPr>
        <w:spacing w:line="360" w:lineRule="auto"/>
        <w:jc w:val="both"/>
        <w:rPr>
          <w:rFonts w:ascii="Cambria" w:hAnsi="Cambria" w:cs="Tahoma"/>
          <w:b/>
        </w:rPr>
      </w:pPr>
    </w:p>
    <w:p w:rsidR="009C13B9" w:rsidRDefault="009C13B9" w:rsidP="009C13B9">
      <w:pPr>
        <w:pStyle w:val="Stopka"/>
        <w:spacing w:line="360" w:lineRule="auto"/>
        <w:jc w:val="center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Projekt jest realizowany w ramach funduszy norweskich na lata 2009-2014</w:t>
      </w:r>
    </w:p>
    <w:p w:rsidR="009C13B9" w:rsidRDefault="009C13B9" w:rsidP="009C13B9">
      <w:pPr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Informacje o przedmiocie zamówienia </w:t>
      </w:r>
    </w:p>
    <w:p w:rsidR="009C13B9" w:rsidRDefault="009C13B9" w:rsidP="009C13B9">
      <w:pPr>
        <w:spacing w:line="360" w:lineRule="auto"/>
        <w:ind w:firstLine="567"/>
        <w:jc w:val="both"/>
        <w:rPr>
          <w:rFonts w:ascii="Cambria" w:hAnsi="Cambria" w:cs="Arial"/>
          <w:spacing w:val="-4"/>
        </w:rPr>
      </w:pPr>
      <w:r>
        <w:rPr>
          <w:rFonts w:ascii="Cambria" w:hAnsi="Cambria" w:cs="Tahoma"/>
          <w:spacing w:val="-4"/>
        </w:rPr>
        <w:t xml:space="preserve">Przedmiotem zamówienia jest usługa wynajmu sali konferencyjnej wraz z obsługą techniczną, usługą cateringu dla 140 uczestników, w tym noclegu dla maksymalnie 90 uczestników na potrzeby dwudniowej konferencji otwarcia, organizowanej przez Krajową Szkołę Sądownictwa i Prokuratury w ramach projektu </w:t>
      </w:r>
      <w:r>
        <w:rPr>
          <w:rFonts w:ascii="Cambria" w:hAnsi="Cambria" w:cs="Tahoma"/>
          <w:i/>
          <w:spacing w:val="-4"/>
        </w:rPr>
        <w:t>„Szkolenie kadr wymiaru sprawiedliwości i prokuratury w zakresie zwalczania i zapobiegania przestępczości transgranicznej i zorganizowanej”</w:t>
      </w:r>
      <w:r>
        <w:rPr>
          <w:rFonts w:ascii="Cambria" w:hAnsi="Cambria" w:cs="Tahoma"/>
          <w:spacing w:val="-4"/>
        </w:rPr>
        <w:t xml:space="preserve">, realizowanego w ramach funduszy norweskich na lata 2009-2014. </w:t>
      </w:r>
      <w:r>
        <w:rPr>
          <w:rFonts w:ascii="Cambria" w:hAnsi="Cambria" w:cs="Arial"/>
          <w:spacing w:val="-4"/>
        </w:rPr>
        <w:t xml:space="preserve">Realizację konferencji otwarcia zaplanowano w </w:t>
      </w:r>
      <w:r>
        <w:rPr>
          <w:rFonts w:ascii="Cambria" w:hAnsi="Cambria" w:cs="Arial"/>
          <w:b/>
          <w:spacing w:val="-4"/>
        </w:rPr>
        <w:t>jednym z 3 terminów (do wyboru przez wykonawcę)</w:t>
      </w:r>
      <w:r>
        <w:rPr>
          <w:rFonts w:ascii="Cambria" w:hAnsi="Cambria" w:cs="Arial"/>
          <w:spacing w:val="-4"/>
        </w:rPr>
        <w:t>:</w:t>
      </w:r>
    </w:p>
    <w:p w:rsidR="009C13B9" w:rsidRDefault="009C13B9" w:rsidP="009C13B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Cambria" w:hAnsi="Cambria" w:cs="Arial"/>
          <w:spacing w:val="-4"/>
        </w:rPr>
      </w:pPr>
      <w:r>
        <w:rPr>
          <w:rFonts w:ascii="Cambria" w:hAnsi="Cambria" w:cs="Arial"/>
          <w:spacing w:val="-4"/>
        </w:rPr>
        <w:t>10-11.09.2015 r. lub</w:t>
      </w:r>
    </w:p>
    <w:p w:rsidR="009C13B9" w:rsidRDefault="009C13B9" w:rsidP="009C13B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Cambria" w:hAnsi="Cambria" w:cs="Arial"/>
          <w:spacing w:val="-4"/>
        </w:rPr>
      </w:pPr>
      <w:r>
        <w:rPr>
          <w:rFonts w:ascii="Cambria" w:hAnsi="Cambria" w:cs="Arial"/>
          <w:spacing w:val="-4"/>
        </w:rPr>
        <w:t>14-15.09.2015 r. lub</w:t>
      </w:r>
    </w:p>
    <w:p w:rsidR="009C13B9" w:rsidRDefault="009C13B9" w:rsidP="009C13B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Cambria" w:hAnsi="Cambria" w:cs="Arial"/>
          <w:spacing w:val="-4"/>
        </w:rPr>
      </w:pPr>
      <w:r>
        <w:rPr>
          <w:rFonts w:ascii="Cambria" w:hAnsi="Cambria" w:cs="Arial"/>
          <w:spacing w:val="-4"/>
        </w:rPr>
        <w:t>17-18.09.2015 r.</w:t>
      </w:r>
    </w:p>
    <w:p w:rsidR="009C13B9" w:rsidRDefault="009C13B9" w:rsidP="009C13B9">
      <w:pPr>
        <w:spacing w:line="360" w:lineRule="auto"/>
        <w:ind w:firstLine="567"/>
        <w:jc w:val="both"/>
        <w:rPr>
          <w:rFonts w:ascii="Cambria" w:hAnsi="Cambria" w:cs="Tahoma"/>
        </w:rPr>
      </w:pPr>
    </w:p>
    <w:p w:rsidR="009C13B9" w:rsidRDefault="009C13B9" w:rsidP="009C13B9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Wymagania:</w:t>
      </w:r>
    </w:p>
    <w:p w:rsidR="009C13B9" w:rsidRDefault="009C13B9" w:rsidP="009C13B9">
      <w:pPr>
        <w:pStyle w:val="ListParagraph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Obiekt</w:t>
      </w:r>
    </w:p>
    <w:p w:rsidR="009C13B9" w:rsidRDefault="009C13B9" w:rsidP="009C13B9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Obiekt, w którym będzie znajdowała się sala konferencyjna, musi spełniać następujące wymogi:</w:t>
      </w:r>
    </w:p>
    <w:p w:rsidR="009C13B9" w:rsidRDefault="009C13B9" w:rsidP="009C13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Zlokalizowany w Warszawie w promieniu maksymalnie 8 km licząc </w:t>
      </w:r>
      <w:r>
        <w:rPr>
          <w:rFonts w:ascii="Cambria" w:hAnsi="Cambria" w:cs="Tahoma"/>
        </w:rPr>
        <w:br/>
        <w:t xml:space="preserve">od dworca PKP Warszawa-Centralna (Al. Jerozolimskie 54, Warszawa). Odległość należy mierzyć za pomocą aplikacji Google Maps w trybie pieszym dostępnej pod adresem www: </w:t>
      </w:r>
      <w:hyperlink r:id="rId8" w:history="1">
        <w:r>
          <w:rPr>
            <w:rStyle w:val="Hipercze"/>
            <w:rFonts w:ascii="Cambria" w:hAnsi="Cambria" w:cs="Tahoma"/>
          </w:rPr>
          <w:t>http://maps.google.pl/maps?hl=pl&amp;tab=ll</w:t>
        </w:r>
      </w:hyperlink>
      <w:r>
        <w:rPr>
          <w:rFonts w:ascii="Cambria" w:hAnsi="Cambria" w:cs="Tahoma"/>
        </w:rPr>
        <w:t>.</w:t>
      </w:r>
    </w:p>
    <w:p w:rsidR="009C13B9" w:rsidRDefault="009C13B9" w:rsidP="009C13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Jego standard powinien odpowiadać minimum 3 gwiazdkom (w rozumieniu przepisów ustawy o usługach turystycznych z dnia 29 sierpnia 1997 r., Dz. U. </w:t>
      </w:r>
      <w:r>
        <w:rPr>
          <w:rFonts w:ascii="Cambria" w:hAnsi="Cambria" w:cs="Tahoma"/>
        </w:rPr>
        <w:br/>
        <w:t>z 2004r. Nr 223, poz. 2268 z późn. zm.).</w:t>
      </w:r>
    </w:p>
    <w:p w:rsidR="009C13B9" w:rsidRDefault="009C13B9" w:rsidP="009C13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obiekcie musi być zapewniona możliwość noclegu (</w:t>
      </w:r>
      <w:r>
        <w:rPr>
          <w:rFonts w:ascii="Cambria" w:hAnsi="Cambria" w:cs="Tahoma"/>
          <w:u w:val="single"/>
        </w:rPr>
        <w:t>bezpłatna rezerwacja na Zamawiającego – warunek konieczny</w:t>
      </w:r>
      <w:r>
        <w:rPr>
          <w:rFonts w:ascii="Cambria" w:hAnsi="Cambria" w:cs="Tahoma"/>
        </w:rPr>
        <w:t>) poprzez zapewnienie pokoi dla maksymalnie 90 uczestników konferencji otwarcia na 1 dobę hotelową. Zamawiający potwierdzi liczbę noclegów najpóźniej w terminie 3 dni kalendarzowych przed rozpoczęciem konferencji. Zamawiający wymaga, aby pokoje były w standardzie 1 osobowym lub wieloosobowym do jednoosobowego wykorzystania. Zamawiający zastrzega, że nie zapłaci za miejsca niewykorzystane w pokojach wieloosobowych.</w:t>
      </w:r>
    </w:p>
    <w:p w:rsidR="009C13B9" w:rsidRDefault="009C13B9" w:rsidP="009C13B9">
      <w:pPr>
        <w:pStyle w:val="ListParagraph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Zaplecze sanitarne winno być dostosowane do liczby uczestników, z osobnymi toaletami dla mężczyzn i kobiet.</w:t>
      </w:r>
    </w:p>
    <w:p w:rsidR="009C13B9" w:rsidRDefault="009C13B9" w:rsidP="009C13B9">
      <w:pPr>
        <w:pStyle w:val="ListParagraph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Musi zapewnić szatnię wraz z obsługą dla 60 uczestników konferencji. Zamawiający zastrzega możliwość wcześniejszego (1 godzina przed otwarciem konferencji) przybycia gości, co winno być uwzględnione przy obsłudze uczestników konferencji przez Wykonawcę.</w:t>
      </w:r>
    </w:p>
    <w:p w:rsidR="009C13B9" w:rsidRDefault="009C13B9" w:rsidP="009C13B9">
      <w:pPr>
        <w:pStyle w:val="ListParagraph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Zapewnić możliwość wcześniejszego dostarczenia i przechowania materiałów wykorzystywanych podczas konferencji otwarcia na jeden dzień przed terminem planowanej konferencji.</w:t>
      </w:r>
    </w:p>
    <w:p w:rsidR="009C13B9" w:rsidRDefault="009C13B9" w:rsidP="009C13B9">
      <w:pPr>
        <w:pStyle w:val="ListParagraph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Zapewnić 10 bezpłatnych miejsc parkingowych dla Zamawiającego.</w:t>
      </w:r>
    </w:p>
    <w:p w:rsidR="009C13B9" w:rsidRDefault="009C13B9" w:rsidP="009C13B9">
      <w:pPr>
        <w:pStyle w:val="ListParagraph"/>
        <w:numPr>
          <w:ilvl w:val="0"/>
          <w:numId w:val="3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Obiekt winien być dostosowany do potrzeb osób niepełnosprawnych, w tym osób poruszających się na wózkach inwalidzkich, w celu umożliwienia uczestnictwa </w:t>
      </w:r>
      <w:r>
        <w:rPr>
          <w:rFonts w:ascii="Cambria" w:hAnsi="Cambria" w:cs="Tahoma"/>
        </w:rPr>
        <w:br/>
        <w:t>w konferencji.</w:t>
      </w:r>
    </w:p>
    <w:p w:rsidR="009C13B9" w:rsidRDefault="009C13B9" w:rsidP="009C13B9">
      <w:pPr>
        <w:pStyle w:val="ListParagraph"/>
        <w:suppressAutoHyphens w:val="0"/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lastRenderedPageBreak/>
        <w:t>Sala konferencyjna</w:t>
      </w:r>
    </w:p>
    <w:p w:rsidR="009C13B9" w:rsidRDefault="009C13B9" w:rsidP="009C13B9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zobowiązany jest zapewnić: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Salę konferencyjną klimatyzowaną, spełniającą wymogi bezpieczeństwa i higieny pracy w odniesieniu do liczby uczestników konferencji.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Miejsca siedzące dla uczestników konferencji, jak i prowadzących w odpowiedniej ilości w ustawieniu teatralnym sali.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Stół prezydialny z miejscami siedzącymi dla minimalnie 5 maksymalnie 10 osób, widoczny dla każdego uczestnika z każdego miejsca sali. Mównicę – usytuowaną obok stołu prezydialnego. 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Nagłośnienie: mikrofony stacjonarne przy stole prezydialnym, w ilości umożliwiającej sprawne prowadzenie konferencji otwarcia wraz z dyskusją,</w:t>
      </w:r>
      <w:r>
        <w:rPr>
          <w:rFonts w:ascii="Cambria" w:hAnsi="Cambria" w:cs="Tahoma"/>
        </w:rPr>
        <w:br/>
        <w:t>3 mikrofony mobilne/bezprzewodowe. Nagłośnienie powinno zapewniać słyszalność w każdym punkcie sali.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Dostęp do Internetu bezprzewodowego w sali konferencyjnej.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Projektor multimedialny oraz ekran do wyświetlania obrazu z projektora z pilotem sterującym (obraz na ekranie widoczny dla każdego uczestnika, z każdego miejsca sali).</w:t>
      </w:r>
    </w:p>
    <w:p w:rsidR="009C13B9" w:rsidRDefault="009C13B9" w:rsidP="009C13B9">
      <w:pPr>
        <w:pStyle w:val="ListParagraph"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Tablicę typu „flipchart” wraz z minimalnie 20 arkuszami papieru, flamastry </w:t>
      </w:r>
      <w:r>
        <w:rPr>
          <w:rFonts w:ascii="Cambria" w:hAnsi="Cambria" w:cs="Tahoma"/>
        </w:rPr>
        <w:br/>
        <w:t>(4 kolory: czarny, czerwony, zielony, niebieski).</w:t>
      </w:r>
    </w:p>
    <w:p w:rsidR="009C13B9" w:rsidRDefault="009C13B9" w:rsidP="009C13B9">
      <w:pPr>
        <w:pStyle w:val="ListParagraph"/>
        <w:suppressAutoHyphens w:val="0"/>
        <w:spacing w:line="360" w:lineRule="auto"/>
        <w:ind w:left="567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Obsługa techniczna / logistyczna</w:t>
      </w:r>
    </w:p>
    <w:p w:rsidR="009C13B9" w:rsidRDefault="009C13B9" w:rsidP="009C13B9">
      <w:pPr>
        <w:pStyle w:val="ListParagraph"/>
        <w:numPr>
          <w:ilvl w:val="0"/>
          <w:numId w:val="24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zapewni, co najmniej jedną osobę do obsługi technicznej oraz akustycznej w sali konferencyjnej w trakcie trwania konferencji otwarcia, dostępną przynajmniej na jedną godzinę przed rozpoczęciem konferencji otwarcia, tj. od godz. 14.00 w pierwszym dniu konferencji.</w:t>
      </w:r>
    </w:p>
    <w:p w:rsidR="009C13B9" w:rsidRDefault="009C13B9" w:rsidP="009C13B9">
      <w:pPr>
        <w:pStyle w:val="ListParagraph"/>
        <w:numPr>
          <w:ilvl w:val="0"/>
          <w:numId w:val="24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w trakcie realizacji zamówienia zapewni: oznakowanie sali konferencyjnej oraz drogi do sali, wykonane zgodnie z wytycznymi Operatora Programu, dostępnym pod linkiem:</w:t>
      </w:r>
    </w:p>
    <w:p w:rsidR="009C13B9" w:rsidRDefault="009C13B9" w:rsidP="009C13B9">
      <w:pPr>
        <w:pStyle w:val="ListParagraph"/>
        <w:suppressAutoHyphens w:val="0"/>
        <w:spacing w:line="360" w:lineRule="auto"/>
        <w:ind w:left="567"/>
        <w:jc w:val="both"/>
        <w:rPr>
          <w:rFonts w:ascii="Cambria" w:hAnsi="Cambria" w:cs="Tahoma"/>
        </w:rPr>
      </w:pPr>
      <w:hyperlink r:id="rId9" w:history="1">
        <w:r>
          <w:rPr>
            <w:rStyle w:val="Hipercze"/>
            <w:rFonts w:ascii="Cambria" w:hAnsi="Cambria" w:cs="Tahoma"/>
          </w:rPr>
          <w:t>http://copemsw.gov.pl/files/nmf/12_Zalacznik_Wytyczne%20w%20zakresie%20informacji%20i%20promocji.pdf</w:t>
        </w:r>
      </w:hyperlink>
    </w:p>
    <w:p w:rsidR="009C13B9" w:rsidRDefault="009C13B9" w:rsidP="009C13B9">
      <w:pPr>
        <w:pStyle w:val="ListParagraph"/>
        <w:suppressAutoHyphens w:val="0"/>
        <w:spacing w:line="360" w:lineRule="auto"/>
        <w:ind w:left="0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lastRenderedPageBreak/>
        <w:t>Wyżywienie</w:t>
      </w:r>
    </w:p>
    <w:p w:rsidR="009C13B9" w:rsidRDefault="009C13B9" w:rsidP="009C13B9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ramach świadczonej usługi cateringowej Wykonawca zapewni dla wszystkich uczestników konferencji (maksymalnie 140 osób):</w:t>
      </w:r>
    </w:p>
    <w:p w:rsidR="009C13B9" w:rsidRDefault="009C13B9" w:rsidP="009C13B9">
      <w:pPr>
        <w:pStyle w:val="ListParagraph"/>
        <w:numPr>
          <w:ilvl w:val="0"/>
          <w:numId w:val="25"/>
        </w:numPr>
        <w:suppressAutoHyphens w:val="0"/>
        <w:spacing w:line="360" w:lineRule="auto"/>
        <w:ind w:hanging="720"/>
        <w:jc w:val="both"/>
        <w:rPr>
          <w:rFonts w:ascii="Cambria" w:hAnsi="Cambria" w:cs="Tahoma"/>
          <w:u w:val="single"/>
        </w:rPr>
      </w:pPr>
      <w:r>
        <w:rPr>
          <w:rFonts w:ascii="Cambria" w:hAnsi="Cambria" w:cs="Tahoma"/>
          <w:u w:val="single"/>
        </w:rPr>
        <w:t>Serwis kawowy- 1 i 2 dzień konferencji otwarcia</w:t>
      </w:r>
    </w:p>
    <w:p w:rsidR="009C13B9" w:rsidRDefault="009C13B9" w:rsidP="009C13B9">
      <w:pPr>
        <w:pStyle w:val="Bezodstpw1"/>
        <w:numPr>
          <w:ilvl w:val="0"/>
          <w:numId w:val="31"/>
        </w:numPr>
        <w:spacing w:line="360" w:lineRule="auto"/>
        <w:ind w:left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 dzień: od godziny 15:00 do godziny 19:00, </w:t>
      </w:r>
    </w:p>
    <w:p w:rsidR="009C13B9" w:rsidRDefault="009C13B9" w:rsidP="009C13B9">
      <w:pPr>
        <w:pStyle w:val="Bezodstpw1"/>
        <w:numPr>
          <w:ilvl w:val="0"/>
          <w:numId w:val="31"/>
        </w:numPr>
        <w:spacing w:line="360" w:lineRule="auto"/>
        <w:ind w:left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2 dzień: od godziny 9:00 do godziny 13:00, </w:t>
      </w:r>
    </w:p>
    <w:p w:rsidR="009C13B9" w:rsidRDefault="009C13B9" w:rsidP="009C13B9">
      <w:pPr>
        <w:pStyle w:val="Bezodstpw1"/>
        <w:numPr>
          <w:ilvl w:val="0"/>
          <w:numId w:val="31"/>
        </w:numPr>
        <w:spacing w:line="360" w:lineRule="auto"/>
        <w:ind w:left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serwis kawowy w systemie ciągłym w nieograniczonej ilości (uzupełnianie brakujących składników będzie się odbywać na bieżąco w razie potrzeby uczestników konferencji) dostępny </w:t>
      </w:r>
      <w:r>
        <w:rPr>
          <w:rFonts w:ascii="Cambria" w:hAnsi="Cambria" w:cs="Tahoma"/>
          <w:color w:val="000000"/>
        </w:rPr>
        <w:t xml:space="preserve">w sali konferencyjnej lub bezpośrednim sąsiedztwie obejmujący: </w:t>
      </w:r>
      <w:r>
        <w:rPr>
          <w:rFonts w:ascii="Cambria" w:hAnsi="Cambria" w:cs="Tahoma"/>
        </w:rPr>
        <w:t xml:space="preserve">butelkowaną wodę mineralną gazowaną i niegazowaną (0,2 – 0,33l), świeżo parzoną gorącą kawę z ekspresu lub zaparzacza, herbatę </w:t>
      </w:r>
      <w:r>
        <w:rPr>
          <w:rFonts w:ascii="Cambria" w:hAnsi="Cambria" w:cs="Tahoma"/>
        </w:rPr>
        <w:br/>
        <w:t xml:space="preserve">– co najmniej 3 rodzaje herbat w torebkach, dodatki – cukier, mleko do kawy, cytryna, soki owocowe 100% – co najmniej 2 rodzaje, 3 rodzaje świeżych pieczonych ciast, 3 rodzaje ciastek, owoce sezonowe – dla uczestników konferencji otwarcia. </w:t>
      </w:r>
    </w:p>
    <w:p w:rsidR="009C13B9" w:rsidRDefault="009C13B9" w:rsidP="009C13B9">
      <w:pPr>
        <w:pStyle w:val="ListParagraph"/>
        <w:numPr>
          <w:ilvl w:val="0"/>
          <w:numId w:val="25"/>
        </w:numPr>
        <w:suppressAutoHyphens w:val="0"/>
        <w:spacing w:line="360" w:lineRule="auto"/>
        <w:ind w:hanging="720"/>
        <w:jc w:val="both"/>
        <w:rPr>
          <w:rFonts w:ascii="Cambria" w:hAnsi="Cambria" w:cs="Tahoma"/>
        </w:rPr>
      </w:pPr>
      <w:r>
        <w:rPr>
          <w:rFonts w:ascii="Cambria" w:hAnsi="Cambria" w:cs="Tahoma"/>
          <w:u w:val="single"/>
        </w:rPr>
        <w:t xml:space="preserve">Kolacja </w:t>
      </w:r>
      <w:r>
        <w:rPr>
          <w:rFonts w:ascii="Cambria" w:hAnsi="Cambria" w:cs="Tahoma"/>
        </w:rPr>
        <w:t>- 1 dzień konferencji otwarcia</w:t>
      </w:r>
    </w:p>
    <w:p w:rsidR="009C13B9" w:rsidRPr="00816E77" w:rsidRDefault="009C13B9" w:rsidP="009C13B9">
      <w:pPr>
        <w:pStyle w:val="ListParagraph"/>
        <w:numPr>
          <w:ilvl w:val="0"/>
          <w:numId w:val="32"/>
        </w:numPr>
        <w:suppressAutoHyphens w:val="0"/>
        <w:spacing w:line="360" w:lineRule="auto"/>
        <w:ind w:left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dania do wyboru gości z kart menu w języku polskim, zawierających do wyboru gości: 2 rodzaje zimnych przekąsek, minimalnie 2 rodzaje ciepłych przystawek, </w:t>
      </w:r>
      <w:r>
        <w:rPr>
          <w:rFonts w:ascii="Cambria" w:hAnsi="Cambria" w:cs="Tahoma"/>
        </w:rPr>
        <w:br/>
        <w:t xml:space="preserve">min. 3 rodzaje dań głównych (mięsne, rybne, warzywne) z dodatkami skrobiowymi oraz surówką, </w:t>
      </w:r>
      <w:r w:rsidRPr="00816E77">
        <w:rPr>
          <w:rFonts w:ascii="Cambria" w:hAnsi="Cambria" w:cs="Tahoma"/>
        </w:rPr>
        <w:t>przystawki zimne (wędlina, sery, 2 rodzaje sałatek), 2 rodzaje przystawek wegetariańskich, pieczywo białe i ciemne, minimalnie</w:t>
      </w:r>
      <w:r w:rsidRPr="00816E77">
        <w:rPr>
          <w:rFonts w:ascii="Cambria" w:hAnsi="Cambria" w:cs="Tahoma"/>
        </w:rPr>
        <w:br/>
        <w:t>2 rodzaje deserów, kawę -świeżo parzoną, herbatę wraz z dodatkami jak w poz. „Serwis kawowy”, soki owocowe 100% - co najmniej 2 rodzaje, wodę mineralną – bez limitów.</w:t>
      </w:r>
    </w:p>
    <w:p w:rsidR="009C13B9" w:rsidRDefault="009C13B9" w:rsidP="009C13B9">
      <w:pPr>
        <w:pStyle w:val="ListParagraph"/>
        <w:numPr>
          <w:ilvl w:val="0"/>
          <w:numId w:val="25"/>
        </w:numPr>
        <w:suppressAutoHyphens w:val="0"/>
        <w:spacing w:line="360" w:lineRule="auto"/>
        <w:ind w:hanging="720"/>
        <w:jc w:val="both"/>
        <w:rPr>
          <w:rFonts w:ascii="Cambria" w:hAnsi="Cambria" w:cs="Tahoma"/>
          <w:u w:val="single"/>
        </w:rPr>
      </w:pPr>
      <w:r>
        <w:rPr>
          <w:rFonts w:ascii="Cambria" w:hAnsi="Cambria" w:cs="Tahoma"/>
          <w:u w:val="single"/>
        </w:rPr>
        <w:t>Lunch/obiad – 1 i 2 dzień konferencji otwarcia:</w:t>
      </w:r>
    </w:p>
    <w:p w:rsidR="009C13B9" w:rsidRDefault="009C13B9" w:rsidP="009C13B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 formie bufetu obejmujący: przystawki zimne – tzw. „zimna płyta”, 2 rodzaje zupy oraz minimalnie 3 rodzaje dania głównego (mięsne, rybne, warzywne), </w:t>
      </w:r>
      <w:r>
        <w:rPr>
          <w:rFonts w:ascii="Cambria" w:hAnsi="Cambria" w:cs="Tahoma"/>
        </w:rPr>
        <w:br/>
        <w:t xml:space="preserve">z dodatkami skrobiowymi oraz surówką/sałatkami, 2 rodzaje deserów </w:t>
      </w:r>
      <w:r>
        <w:rPr>
          <w:rFonts w:ascii="Cambria" w:hAnsi="Cambria" w:cs="Tahoma"/>
        </w:rPr>
        <w:br/>
        <w:t>do wyboru (wyroby cukiernicze), kawę i herbatę wraz z dodatkami jak w poz. „Serwis kawowy”, minimalnie 3 rodzaje soków owocowych (100%), woda mineralna gazowana i niegazowana.</w:t>
      </w:r>
    </w:p>
    <w:p w:rsidR="009C13B9" w:rsidRDefault="009C13B9" w:rsidP="009C13B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  <w:spacing w:val="-6"/>
        </w:rPr>
        <w:lastRenderedPageBreak/>
        <w:t>miejsce wydawania posiłków (lunch/obiad) musi znajdować się w tym samym obiekcie, w którym będzie odbywała się konferencja otwarcia</w:t>
      </w:r>
      <w:r>
        <w:rPr>
          <w:rFonts w:ascii="Cambria" w:hAnsi="Cambria" w:cs="Tahoma"/>
          <w:spacing w:val="-6"/>
        </w:rPr>
        <w:br/>
        <w:t xml:space="preserve">w oddzielnym/wyodrębnionym pomieszczeniu, innym niż sala konferencyjna. </w:t>
      </w:r>
      <w:r>
        <w:rPr>
          <w:rFonts w:ascii="Cambria" w:hAnsi="Cambria" w:cs="Tahoma"/>
        </w:rPr>
        <w:t xml:space="preserve">Ww. miejsce przeznaczone dla celów konsumpcyjnych musi być wyposażone </w:t>
      </w:r>
      <w:r>
        <w:rPr>
          <w:rFonts w:ascii="Cambria" w:hAnsi="Cambria" w:cs="Tahoma"/>
        </w:rPr>
        <w:br/>
        <w:t>w krzesła i stoły według obowiązujących standardów.</w:t>
      </w:r>
    </w:p>
    <w:p w:rsidR="009C13B9" w:rsidRDefault="009C13B9" w:rsidP="009C13B9">
      <w:pPr>
        <w:pStyle w:val="ListParagraph"/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spacing w:line="360" w:lineRule="auto"/>
        <w:jc w:val="both"/>
        <w:rPr>
          <w:rFonts w:ascii="Cambria" w:hAnsi="Cambria" w:cs="Tahoma"/>
          <w:u w:val="single"/>
        </w:rPr>
      </w:pPr>
      <w:r>
        <w:rPr>
          <w:rFonts w:ascii="Cambria" w:hAnsi="Cambria" w:cs="Tahoma"/>
          <w:u w:val="single"/>
        </w:rPr>
        <w:t>Wyżywienie - Uwagi ogólne: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Wszystkie naczynia do posiłków powinny być szklane lub ceramiczne </w:t>
      </w:r>
      <w:r>
        <w:rPr>
          <w:rFonts w:ascii="Cambria" w:hAnsi="Cambria" w:cs="Tahoma"/>
        </w:rPr>
        <w:br/>
        <w:t>(z wyłączeniem plastiku).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zapewni wyposażenie do organizacji wszystkich posiłków (między innymi: stoły, obrusy - tkanina, krzesła, naczynia, sztućce itp.).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zapewni obsługę kelnerską - serwis gastronomiczny wszystkich posiłków (nakładanie i podawanie posiłków, sprzątanie stołów), w liczbie zapewniającej sprawną organizację, podawanie posiłków i sprzątanie.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zobowiązany jest do terminowego przygotowania i podania posiłków, zgodnie z ramowym planem konferencji otwarcia, o którym mowa w pkt 3 niniejszego OPZ.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zobowiązany jest do zachowania zasad higieny i obowiązujących przepisów sanitarnych przy przygotowaniu posiłków.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zobowiązany jest do przygotowania posiłków zgodnie z zasadami racjonalnego wyżywienia, urozmaiconych, z pełnowartościowych świeżych produktów z ważnym terminem przydatności do spożycia.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Zamawiający zastrzega, iż w całym menu nie mogą się powtarzać produkty/dania raz zaproponowane, tj. np. takie same sałatki, takie same zupy.</w:t>
      </w:r>
    </w:p>
    <w:p w:rsidR="009C13B9" w:rsidRDefault="009C13B9" w:rsidP="009C13B9">
      <w:pPr>
        <w:pStyle w:val="Bezodstpw1"/>
        <w:numPr>
          <w:ilvl w:val="0"/>
          <w:numId w:val="26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Na życzenie Zamawiającego Wykonawca uwzględni w menu dania dietetyczne             (np. dania spełniające wymogi diety bezglutenowej, wegańskiej).</w:t>
      </w:r>
    </w:p>
    <w:p w:rsidR="009C13B9" w:rsidRDefault="009C13B9" w:rsidP="009C13B9">
      <w:pPr>
        <w:pStyle w:val="Bezodstpw1"/>
        <w:spacing w:line="360" w:lineRule="auto"/>
        <w:ind w:left="720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1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Noclegi:</w:t>
      </w:r>
    </w:p>
    <w:p w:rsidR="009C13B9" w:rsidRDefault="009C13B9" w:rsidP="009C13B9">
      <w:pPr>
        <w:pStyle w:val="ListParagraph"/>
        <w:numPr>
          <w:ilvl w:val="0"/>
          <w:numId w:val="28"/>
        </w:numPr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Wykonawca zapewni nocleg dla maksymalnie 90 uczestników konferencji otwarcia w pokojach jednoosobowych lub wieloosobowych do pojedynczego wykorzystania. Zamawiający zastrzega, że nie zapłaci za miejsca niewykorzystane w pokojach wieloosobowych.</w:t>
      </w:r>
    </w:p>
    <w:p w:rsidR="009C13B9" w:rsidRDefault="009C13B9" w:rsidP="009C13B9">
      <w:pPr>
        <w:pStyle w:val="ListParagraph"/>
        <w:numPr>
          <w:ilvl w:val="0"/>
          <w:numId w:val="28"/>
        </w:numPr>
        <w:spacing w:line="360" w:lineRule="auto"/>
        <w:ind w:left="567" w:hanging="567"/>
        <w:jc w:val="both"/>
        <w:rPr>
          <w:rFonts w:ascii="Cambria" w:hAnsi="Cambria" w:cs="Tahoma"/>
          <w:spacing w:val="-10"/>
        </w:rPr>
      </w:pPr>
      <w:r>
        <w:rPr>
          <w:rFonts w:ascii="Cambria" w:hAnsi="Cambria" w:cs="Tahoma"/>
          <w:spacing w:val="-10"/>
        </w:rPr>
        <w:t xml:space="preserve">Wykonawca zapewni bezpłatną rezerwację pokoi jednoosobowych dla uczestników konferencji otwarcia w pokojach jednoosobowych lub wieloosobowych do pojedynczego wykorzystania dla maksymalnie 90 osób. </w:t>
      </w:r>
    </w:p>
    <w:p w:rsidR="009C13B9" w:rsidRDefault="009C13B9" w:rsidP="009C13B9">
      <w:pPr>
        <w:pStyle w:val="ListParagraph"/>
        <w:numPr>
          <w:ilvl w:val="0"/>
          <w:numId w:val="28"/>
        </w:numPr>
        <w:spacing w:line="360" w:lineRule="auto"/>
        <w:ind w:left="567" w:hanging="567"/>
        <w:jc w:val="both"/>
        <w:rPr>
          <w:rFonts w:ascii="Cambria" w:hAnsi="Cambria" w:cs="Tahoma"/>
          <w:spacing w:val="-6"/>
        </w:rPr>
      </w:pPr>
      <w:r>
        <w:rPr>
          <w:rFonts w:ascii="Cambria" w:hAnsi="Cambria" w:cs="Tahoma"/>
          <w:spacing w:val="-6"/>
        </w:rPr>
        <w:t>Czas trwania doby hotelowej od godz. 13.00 do minimum godz. 13.00 drugiego dnia.</w:t>
      </w:r>
    </w:p>
    <w:p w:rsidR="009C13B9" w:rsidRDefault="009C13B9" w:rsidP="009C13B9">
      <w:pPr>
        <w:pStyle w:val="ListParagraph"/>
        <w:numPr>
          <w:ilvl w:val="0"/>
          <w:numId w:val="28"/>
        </w:numPr>
        <w:spacing w:line="360" w:lineRule="auto"/>
        <w:ind w:left="567" w:hanging="567"/>
        <w:jc w:val="both"/>
        <w:rPr>
          <w:rFonts w:ascii="Cambria" w:hAnsi="Cambria" w:cs="Tahoma"/>
          <w:spacing w:val="-6"/>
        </w:rPr>
      </w:pPr>
      <w:r>
        <w:rPr>
          <w:rFonts w:ascii="Cambria" w:hAnsi="Cambria" w:cs="Tahoma"/>
          <w:spacing w:val="-6"/>
        </w:rPr>
        <w:t>W cenę noclegu wliczone będzie śniadanie.</w:t>
      </w:r>
    </w:p>
    <w:p w:rsidR="009C13B9" w:rsidRDefault="009C13B9" w:rsidP="009C13B9">
      <w:pPr>
        <w:pStyle w:val="ListParagraph"/>
        <w:spacing w:line="360" w:lineRule="auto"/>
        <w:ind w:left="567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spacing w:line="360" w:lineRule="auto"/>
        <w:ind w:left="567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spacing w:line="360" w:lineRule="auto"/>
        <w:ind w:left="567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1"/>
          <w:numId w:val="11"/>
        </w:numPr>
        <w:shd w:val="clear" w:color="auto" w:fill="FFFFFF"/>
        <w:suppressAutoHyphens w:val="0"/>
        <w:ind w:left="567" w:hanging="567"/>
        <w:rPr>
          <w:rFonts w:ascii="Cambria" w:hAnsi="Cambria"/>
          <w:b/>
        </w:rPr>
      </w:pPr>
      <w:r>
        <w:rPr>
          <w:rFonts w:ascii="Cambria" w:hAnsi="Cambria" w:cs="Tahoma"/>
          <w:b/>
          <w:shd w:val="clear" w:color="auto" w:fill="FFFFFF"/>
        </w:rPr>
        <w:t>Pa</w:t>
      </w:r>
      <w:r>
        <w:rPr>
          <w:rFonts w:ascii="Cambria" w:hAnsi="Cambria" w:cs="Tahoma"/>
          <w:b/>
        </w:rPr>
        <w:t>rking</w:t>
      </w:r>
    </w:p>
    <w:p w:rsidR="009C13B9" w:rsidRDefault="009C13B9" w:rsidP="009C13B9">
      <w:pPr>
        <w:pStyle w:val="ListParagraph"/>
        <w:numPr>
          <w:ilvl w:val="0"/>
          <w:numId w:val="29"/>
        </w:numPr>
        <w:spacing w:line="360" w:lineRule="auto"/>
        <w:ind w:left="567" w:hanging="567"/>
        <w:jc w:val="both"/>
        <w:rPr>
          <w:rFonts w:ascii="Cambria" w:hAnsi="Cambria" w:cs="Tahoma"/>
          <w:spacing w:val="-8"/>
        </w:rPr>
      </w:pPr>
      <w:r>
        <w:rPr>
          <w:rFonts w:ascii="Cambria" w:hAnsi="Cambria" w:cs="Tahoma"/>
          <w:spacing w:val="-8"/>
        </w:rPr>
        <w:t xml:space="preserve">Wykonawca w ramach usługi zapewni 10 bezpłatnych miejsc parkingowych </w:t>
      </w:r>
      <w:r>
        <w:rPr>
          <w:rFonts w:ascii="Cambria" w:hAnsi="Cambria" w:cs="Tahoma"/>
          <w:spacing w:val="-8"/>
        </w:rPr>
        <w:br/>
        <w:t xml:space="preserve">na potrzeby zamawiającego, do dyspozycji w trakcie przedmiotowej konferencji otwarcia. </w:t>
      </w:r>
    </w:p>
    <w:p w:rsidR="009C13B9" w:rsidRDefault="009C13B9" w:rsidP="009C13B9">
      <w:pPr>
        <w:pStyle w:val="ListParagraph"/>
        <w:spacing w:line="360" w:lineRule="auto"/>
        <w:ind w:left="567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UWAGI:</w:t>
      </w:r>
    </w:p>
    <w:p w:rsidR="009C13B9" w:rsidRPr="003636D0" w:rsidRDefault="009C13B9" w:rsidP="009C13B9">
      <w:pPr>
        <w:numPr>
          <w:ilvl w:val="0"/>
          <w:numId w:val="27"/>
        </w:numPr>
        <w:spacing w:line="360" w:lineRule="auto"/>
        <w:jc w:val="both"/>
        <w:rPr>
          <w:rFonts w:ascii="Cambria" w:hAnsi="Cambria" w:cs="Tahoma"/>
        </w:rPr>
      </w:pPr>
      <w:r w:rsidRPr="003636D0">
        <w:rPr>
          <w:rFonts w:ascii="Cambria" w:hAnsi="Cambria" w:cs="Tahoma"/>
        </w:rPr>
        <w:t>Zamawiający zapłaci tylko za usługę wg. cen jednostkowych określonych</w:t>
      </w:r>
      <w:r>
        <w:rPr>
          <w:rFonts w:ascii="Cambria" w:hAnsi="Cambria" w:cs="Tahoma"/>
        </w:rPr>
        <w:t xml:space="preserve">                              </w:t>
      </w:r>
      <w:r w:rsidRPr="003636D0">
        <w:rPr>
          <w:rFonts w:ascii="Cambria" w:hAnsi="Cambria" w:cs="Tahoma"/>
        </w:rPr>
        <w:t>w formularzu ofertowym i liczby uczestników zadeklarowanych przez Zamawiającego w formie pisemnej lub mailowej najpóźniej na 3 dni przed rozpoczęciem konferencji, n</w:t>
      </w:r>
      <w:r>
        <w:rPr>
          <w:rFonts w:ascii="Cambria" w:hAnsi="Cambria" w:cs="Tahoma"/>
        </w:rPr>
        <w:t>ie mniej jednak niż za 60 osób .</w:t>
      </w:r>
    </w:p>
    <w:p w:rsidR="009C13B9" w:rsidRDefault="009C13B9" w:rsidP="009C13B9">
      <w:pPr>
        <w:pStyle w:val="ListParagraph"/>
        <w:numPr>
          <w:ilvl w:val="0"/>
          <w:numId w:val="27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Zamawiający poinformuje o ostatecznej liczbie uczestników najpóźniej na 3 dni przed pierwszym dniem konferencji otwarcia.</w:t>
      </w:r>
    </w:p>
    <w:p w:rsidR="009C13B9" w:rsidRDefault="009C13B9" w:rsidP="009C13B9">
      <w:pPr>
        <w:pStyle w:val="ListParagraph"/>
        <w:numPr>
          <w:ilvl w:val="0"/>
          <w:numId w:val="27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zobowiązuje się do oddelegowania osób do obsługi konferencji otwarcia, w szczególności do obsługi technicznej oraz do obsługi serwisu gastronomicznego.</w:t>
      </w:r>
    </w:p>
    <w:p w:rsidR="009C13B9" w:rsidRDefault="009C13B9" w:rsidP="009C13B9">
      <w:pPr>
        <w:pStyle w:val="ListParagraph"/>
        <w:numPr>
          <w:ilvl w:val="0"/>
          <w:numId w:val="27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Zamawiający zastrzega prawo do wniesienie uwag do menu po jego otrzymaniu </w:t>
      </w:r>
      <w:r>
        <w:rPr>
          <w:rFonts w:ascii="Cambria" w:hAnsi="Cambria" w:cs="Tahoma"/>
        </w:rPr>
        <w:br/>
        <w:t xml:space="preserve">do akceptacji. Wykonawca zobowiązuje się do przedstawienia propozycji menu </w:t>
      </w:r>
      <w:r>
        <w:rPr>
          <w:rFonts w:ascii="Cambria" w:hAnsi="Cambria" w:cs="Tahoma"/>
        </w:rPr>
        <w:br/>
        <w:t>na 7 dni przed pierwszym dniem konferencji otwarcia.</w:t>
      </w:r>
    </w:p>
    <w:p w:rsidR="009C13B9" w:rsidRDefault="009C13B9" w:rsidP="009C13B9">
      <w:pPr>
        <w:pStyle w:val="ListParagraph"/>
        <w:numPr>
          <w:ilvl w:val="0"/>
          <w:numId w:val="27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Zamawiający nie ponosi żadnych dodatkowych kosztów wygenerowanych przez uczestników konferencji w trakcie całego pobytu w obiekcie (np. kosztów połączeń telefonicznych, korzystania z pełnego barku itp.).</w:t>
      </w:r>
    </w:p>
    <w:p w:rsidR="009C13B9" w:rsidRDefault="009C13B9" w:rsidP="009C13B9">
      <w:pPr>
        <w:pStyle w:val="ListParagraph"/>
        <w:numPr>
          <w:ilvl w:val="0"/>
          <w:numId w:val="27"/>
        </w:numPr>
        <w:suppressAutoHyphens w:val="0"/>
        <w:spacing w:line="360" w:lineRule="auto"/>
        <w:ind w:left="567" w:hanging="567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Wszystkie elementy usługi muszą być świadczone w tym samym obiekcie.</w:t>
      </w:r>
    </w:p>
    <w:p w:rsidR="009C13B9" w:rsidRDefault="009C13B9" w:rsidP="009C13B9">
      <w:pPr>
        <w:pStyle w:val="ListParagraph"/>
        <w:suppressAutoHyphens w:val="0"/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pStyle w:val="ListParagraph"/>
        <w:numPr>
          <w:ilvl w:val="0"/>
          <w:numId w:val="35"/>
        </w:numPr>
        <w:spacing w:line="360" w:lineRule="auto"/>
        <w:ind w:left="567" w:hanging="567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Ramowy plan konferencji otwarcia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119"/>
        <w:gridCol w:w="425"/>
      </w:tblGrid>
      <w:tr w:rsidR="009C13B9" w:rsidTr="00F7091B">
        <w:tc>
          <w:tcPr>
            <w:tcW w:w="9212" w:type="dxa"/>
            <w:gridSpan w:val="3"/>
          </w:tcPr>
          <w:p w:rsidR="009C13B9" w:rsidRDefault="009C13B9" w:rsidP="00F7091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 - dzień konferencji</w:t>
            </w:r>
          </w:p>
          <w:p w:rsidR="009C13B9" w:rsidRDefault="009C13B9" w:rsidP="00F7091B">
            <w:pPr>
              <w:rPr>
                <w:rFonts w:ascii="Cambria" w:hAnsi="Cambria"/>
                <w:b/>
              </w:rPr>
            </w:pP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 xml:space="preserve">13.00 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przyjazd i zakwaterowanie uczestników konferencji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14.00 – 15.00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obiad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15.00– 17.00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ind w:left="317" w:hanging="28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rejestracja uczestników, otwarcie konferencji, panel dyskusyjny 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17.00 – 17.20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przerwa kawowa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17.20 – 19.00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panel dyskusyjny;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 xml:space="preserve">19.15             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kolacja uczestników konferencji;</w:t>
            </w:r>
          </w:p>
        </w:tc>
      </w:tr>
      <w:tr w:rsidR="009C13B9" w:rsidTr="00F7091B">
        <w:tc>
          <w:tcPr>
            <w:tcW w:w="9212" w:type="dxa"/>
            <w:gridSpan w:val="3"/>
          </w:tcPr>
          <w:p w:rsidR="009C13B9" w:rsidRDefault="009C13B9" w:rsidP="00F7091B">
            <w:pPr>
              <w:rPr>
                <w:rFonts w:ascii="Cambria" w:hAnsi="Cambria"/>
                <w:b/>
              </w:rPr>
            </w:pPr>
          </w:p>
          <w:p w:rsidR="009C13B9" w:rsidRDefault="009C13B9" w:rsidP="00F7091B">
            <w:pPr>
              <w:rPr>
                <w:rFonts w:ascii="Cambria" w:hAnsi="Cambria"/>
                <w:b/>
              </w:rPr>
            </w:pPr>
          </w:p>
          <w:p w:rsidR="009C13B9" w:rsidRDefault="009C13B9" w:rsidP="00F7091B">
            <w:pPr>
              <w:rPr>
                <w:rFonts w:ascii="Cambria" w:hAnsi="Cambria"/>
                <w:b/>
              </w:rPr>
            </w:pPr>
          </w:p>
          <w:p w:rsidR="009C13B9" w:rsidRDefault="009C13B9" w:rsidP="00F7091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II - dzień konferencji</w:t>
            </w:r>
          </w:p>
          <w:p w:rsidR="009C13B9" w:rsidRDefault="009C13B9" w:rsidP="00F7091B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 xml:space="preserve">8.00 -  9.00   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śniadanie;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9.00 - 11.00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panel dyskusyjny;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11.00 –  11.20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przerwa kawowa;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11.20 – 13.00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ind w:left="317" w:hanging="28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panel dyskusyjny; </w:t>
            </w:r>
          </w:p>
        </w:tc>
      </w:tr>
      <w:tr w:rsidR="009C13B9" w:rsidTr="00F7091B">
        <w:trPr>
          <w:gridAfter w:val="1"/>
          <w:wAfter w:w="425" w:type="dxa"/>
        </w:trPr>
        <w:tc>
          <w:tcPr>
            <w:tcW w:w="1668" w:type="dxa"/>
          </w:tcPr>
          <w:p w:rsidR="009C13B9" w:rsidRDefault="009C13B9" w:rsidP="00F7091B">
            <w:pPr>
              <w:spacing w:line="360" w:lineRule="auto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13.00</w:t>
            </w:r>
          </w:p>
        </w:tc>
        <w:tc>
          <w:tcPr>
            <w:tcW w:w="7119" w:type="dxa"/>
          </w:tcPr>
          <w:p w:rsidR="009C13B9" w:rsidRDefault="009C13B9" w:rsidP="009C13B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7" w:hanging="283"/>
              <w:jc w:val="both"/>
              <w:rPr>
                <w:rFonts w:ascii="Cambria" w:hAnsi="Cambria" w:cs="Tahoma"/>
                <w:spacing w:val="-8"/>
              </w:rPr>
            </w:pPr>
            <w:r>
              <w:rPr>
                <w:rFonts w:ascii="Cambria" w:hAnsi="Cambria"/>
                <w:spacing w:val="-8"/>
              </w:rPr>
              <w:t>obiad i odjazd uczestników po wykwaterowaniu z pokoi hotelowych</w:t>
            </w:r>
          </w:p>
        </w:tc>
      </w:tr>
    </w:tbl>
    <w:p w:rsidR="009C13B9" w:rsidRDefault="009C13B9" w:rsidP="009C13B9">
      <w:pPr>
        <w:spacing w:line="360" w:lineRule="auto"/>
        <w:jc w:val="both"/>
        <w:rPr>
          <w:rFonts w:ascii="Cambria" w:hAnsi="Cambria" w:cs="Tahoma"/>
        </w:rPr>
      </w:pPr>
    </w:p>
    <w:p w:rsidR="009C13B9" w:rsidRDefault="009C13B9" w:rsidP="009C13B9">
      <w:pPr>
        <w:jc w:val="both"/>
        <w:rPr>
          <w:rFonts w:ascii="Bookman Old Style" w:hAnsi="Bookman Old Style"/>
        </w:rPr>
      </w:pPr>
    </w:p>
    <w:p w:rsidR="009C13B9" w:rsidRDefault="009C13B9" w:rsidP="009C13B9">
      <w:pPr>
        <w:jc w:val="both"/>
        <w:rPr>
          <w:rFonts w:ascii="Bookman Old Style" w:hAnsi="Bookman Old Style"/>
        </w:rPr>
      </w:pPr>
    </w:p>
    <w:p w:rsidR="009C13B9" w:rsidRDefault="009C13B9" w:rsidP="009C13B9">
      <w:pPr>
        <w:pStyle w:val="ListParagraph"/>
        <w:spacing w:line="360" w:lineRule="auto"/>
        <w:ind w:left="0"/>
        <w:jc w:val="both"/>
        <w:rPr>
          <w:rFonts w:ascii="Cambria" w:hAnsi="Cambria"/>
        </w:rPr>
      </w:pPr>
    </w:p>
    <w:p w:rsidR="009C13B9" w:rsidRDefault="009C13B9" w:rsidP="009C13B9">
      <w:pPr>
        <w:jc w:val="both"/>
        <w:rPr>
          <w:rFonts w:ascii="Tahoma" w:hAnsi="Tahoma" w:cs="Tahoma"/>
        </w:rPr>
      </w:pPr>
    </w:p>
    <w:p w:rsidR="00635D3E" w:rsidRPr="009C13B9" w:rsidRDefault="00635D3E" w:rsidP="009C13B9">
      <w:bookmarkStart w:id="0" w:name="_GoBack"/>
      <w:bookmarkEnd w:id="0"/>
    </w:p>
    <w:sectPr w:rsidR="00635D3E" w:rsidRPr="009C13B9" w:rsidSect="002B6824">
      <w:headerReference w:type="default" r:id="rId10"/>
      <w:footerReference w:type="even" r:id="rId11"/>
      <w:footerReference w:type="default" r:id="rId12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3E" w:rsidRDefault="00635D3E">
      <w:r>
        <w:separator/>
      </w:r>
    </w:p>
  </w:endnote>
  <w:endnote w:type="continuationSeparator" w:id="0">
    <w:p w:rsidR="00635D3E" w:rsidRDefault="0063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3E" w:rsidRDefault="00635D3E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5D3E" w:rsidRDefault="00635D3E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3E" w:rsidRPr="00EA73A2" w:rsidRDefault="009C13B9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635D3E" w:rsidRPr="00EA73A2">
      <w:rPr>
        <w:rFonts w:ascii="Verdana" w:hAnsi="Verdana" w:cs="Tahoma"/>
        <w:sz w:val="18"/>
        <w:szCs w:val="18"/>
      </w:rPr>
      <w:t xml:space="preserve">Projekt pt.: </w:t>
    </w:r>
    <w:r w:rsidR="00635D3E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635D3E">
      <w:rPr>
        <w:rFonts w:ascii="Verdana" w:hAnsi="Verdana" w:cs="Tahoma"/>
        <w:bCs/>
        <w:iCs/>
        <w:sz w:val="18"/>
        <w:szCs w:val="18"/>
      </w:rPr>
      <w:br/>
    </w:r>
    <w:r w:rsidR="00635D3E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635D3E" w:rsidRPr="00EA73A2" w:rsidRDefault="00635D3E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635D3E" w:rsidRPr="00EA73A2" w:rsidRDefault="00635D3E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3E" w:rsidRDefault="00635D3E">
      <w:r>
        <w:separator/>
      </w:r>
    </w:p>
  </w:footnote>
  <w:footnote w:type="continuationSeparator" w:id="0">
    <w:p w:rsidR="00635D3E" w:rsidRDefault="0063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3E" w:rsidRPr="00EA73A2" w:rsidRDefault="009C13B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-471805</wp:posOffset>
          </wp:positionH>
          <wp:positionV relativeFrom="paragraph">
            <wp:posOffset>-173990</wp:posOffset>
          </wp:positionV>
          <wp:extent cx="819785" cy="71247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-321945</wp:posOffset>
          </wp:positionV>
          <wp:extent cx="1030605" cy="1030605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4141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D3E" w:rsidRPr="00EA73A2">
      <w:rPr>
        <w:b/>
        <w:sz w:val="28"/>
        <w:szCs w:val="28"/>
      </w:rPr>
      <w:tab/>
    </w:r>
    <w:r w:rsidR="00635D3E" w:rsidRPr="00EA73A2">
      <w:rPr>
        <w:b/>
        <w:sz w:val="28"/>
        <w:szCs w:val="28"/>
      </w:rPr>
      <w:tab/>
    </w:r>
    <w:r w:rsidR="00635D3E" w:rsidRPr="00EA73A2">
      <w:rPr>
        <w:sz w:val="21"/>
        <w:szCs w:val="21"/>
      </w:rPr>
      <w:tab/>
    </w:r>
  </w:p>
  <w:p w:rsidR="00635D3E" w:rsidRPr="00EA73A2" w:rsidRDefault="00635D3E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635D3E" w:rsidRPr="00A06D0E" w:rsidRDefault="00635D3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635D3E" w:rsidRPr="00A06D0E" w:rsidRDefault="00635D3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635D3E" w:rsidRPr="00A06D0E" w:rsidRDefault="00635D3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635D3E" w:rsidRPr="00A06D0E" w:rsidRDefault="009C13B9" w:rsidP="00A06D0E">
    <w:pPr>
      <w:pStyle w:val="Nagwek"/>
      <w:rPr>
        <w:rFonts w:ascii="Verdana" w:hAnsi="Verdan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635D3E" w:rsidRPr="00A06D0E" w:rsidRDefault="00635D3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635D3E" w:rsidRPr="00EA73A2" w:rsidRDefault="00635D3E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1028C9"/>
    <w:multiLevelType w:val="hybridMultilevel"/>
    <w:tmpl w:val="D2C2F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E3B303E"/>
    <w:multiLevelType w:val="hybridMultilevel"/>
    <w:tmpl w:val="0DF830D2"/>
    <w:lvl w:ilvl="0" w:tplc="2960D4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0802D1B"/>
    <w:multiLevelType w:val="hybridMultilevel"/>
    <w:tmpl w:val="7BA4C4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2015129"/>
    <w:multiLevelType w:val="hybridMultilevel"/>
    <w:tmpl w:val="1D1E5254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8339DE"/>
    <w:multiLevelType w:val="hybridMultilevel"/>
    <w:tmpl w:val="575A6D1A"/>
    <w:lvl w:ilvl="0" w:tplc="BAD4D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047E03"/>
    <w:multiLevelType w:val="hybridMultilevel"/>
    <w:tmpl w:val="1710264A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6D80110"/>
    <w:multiLevelType w:val="hybridMultilevel"/>
    <w:tmpl w:val="FAEAA6AC"/>
    <w:lvl w:ilvl="0" w:tplc="BAD4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DD655D8"/>
    <w:multiLevelType w:val="hybridMultilevel"/>
    <w:tmpl w:val="F61AFA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FDD13A4"/>
    <w:multiLevelType w:val="hybridMultilevel"/>
    <w:tmpl w:val="6136EF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A96326"/>
    <w:multiLevelType w:val="hybridMultilevel"/>
    <w:tmpl w:val="3DCA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101A15"/>
    <w:multiLevelType w:val="hybridMultilevel"/>
    <w:tmpl w:val="8990CF78"/>
    <w:lvl w:ilvl="0" w:tplc="BAD4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4A2C1A"/>
    <w:multiLevelType w:val="hybridMultilevel"/>
    <w:tmpl w:val="1FB4A832"/>
    <w:lvl w:ilvl="0" w:tplc="BAD4D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EFD7664"/>
    <w:multiLevelType w:val="hybridMultilevel"/>
    <w:tmpl w:val="8232459C"/>
    <w:lvl w:ilvl="0" w:tplc="EE8C229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0"/>
  </w:num>
  <w:num w:numId="3">
    <w:abstractNumId w:val="42"/>
  </w:num>
  <w:num w:numId="4">
    <w:abstractNumId w:val="44"/>
  </w:num>
  <w:num w:numId="5">
    <w:abstractNumId w:val="27"/>
  </w:num>
  <w:num w:numId="6">
    <w:abstractNumId w:val="49"/>
  </w:num>
  <w:num w:numId="7">
    <w:abstractNumId w:val="37"/>
  </w:num>
  <w:num w:numId="8">
    <w:abstractNumId w:val="41"/>
  </w:num>
  <w:num w:numId="9">
    <w:abstractNumId w:val="29"/>
  </w:num>
  <w:num w:numId="10">
    <w:abstractNumId w:val="45"/>
  </w:num>
  <w:num w:numId="11">
    <w:abstractNumId w:val="36"/>
  </w:num>
  <w:num w:numId="12">
    <w:abstractNumId w:val="56"/>
  </w:num>
  <w:num w:numId="13">
    <w:abstractNumId w:val="61"/>
  </w:num>
  <w:num w:numId="14">
    <w:abstractNumId w:val="38"/>
  </w:num>
  <w:num w:numId="15">
    <w:abstractNumId w:val="52"/>
  </w:num>
  <w:num w:numId="16">
    <w:abstractNumId w:val="28"/>
  </w:num>
  <w:num w:numId="17">
    <w:abstractNumId w:val="51"/>
  </w:num>
  <w:num w:numId="18">
    <w:abstractNumId w:val="53"/>
  </w:num>
  <w:num w:numId="19">
    <w:abstractNumId w:val="54"/>
  </w:num>
  <w:num w:numId="20">
    <w:abstractNumId w:val="50"/>
  </w:num>
  <w:num w:numId="21">
    <w:abstractNumId w:val="46"/>
  </w:num>
  <w:num w:numId="22">
    <w:abstractNumId w:val="35"/>
  </w:num>
  <w:num w:numId="23">
    <w:abstractNumId w:val="48"/>
  </w:num>
  <w:num w:numId="24">
    <w:abstractNumId w:val="30"/>
  </w:num>
  <w:num w:numId="25">
    <w:abstractNumId w:val="33"/>
  </w:num>
  <w:num w:numId="26">
    <w:abstractNumId w:val="39"/>
  </w:num>
  <w:num w:numId="27">
    <w:abstractNumId w:val="40"/>
  </w:num>
  <w:num w:numId="28">
    <w:abstractNumId w:val="55"/>
  </w:num>
  <w:num w:numId="29">
    <w:abstractNumId w:val="32"/>
  </w:num>
  <w:num w:numId="30">
    <w:abstractNumId w:val="57"/>
  </w:num>
  <w:num w:numId="31">
    <w:abstractNumId w:val="34"/>
  </w:num>
  <w:num w:numId="32">
    <w:abstractNumId w:val="58"/>
  </w:num>
  <w:num w:numId="33">
    <w:abstractNumId w:val="47"/>
  </w:num>
  <w:num w:numId="34">
    <w:abstractNumId w:val="43"/>
  </w:num>
  <w:num w:numId="35">
    <w:abstractNumId w:val="31"/>
  </w:num>
  <w:num w:numId="36">
    <w:abstractNumId w:val="5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85F42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3287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5D3E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13B9"/>
    <w:rsid w:val="009C39F4"/>
    <w:rsid w:val="009C7310"/>
    <w:rsid w:val="009D1842"/>
    <w:rsid w:val="009D21CE"/>
    <w:rsid w:val="009D3822"/>
    <w:rsid w:val="009D5483"/>
    <w:rsid w:val="009D5A24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2C0E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50F2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35B5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6EB4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4FA7"/>
    <w:rsid w:val="00E25E45"/>
    <w:rsid w:val="00E26EFB"/>
    <w:rsid w:val="00E30DEC"/>
    <w:rsid w:val="00E3164A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B6B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locked/>
    <w:rsid w:val="00C650F2"/>
    <w:rPr>
      <w:rFonts w:cs="Times New Roman"/>
      <w:lang w:val="pl-PL" w:eastAsia="pl-PL" w:bidi="ar-SA"/>
    </w:rPr>
  </w:style>
  <w:style w:type="paragraph" w:customStyle="1" w:styleId="ListParagraph">
    <w:name w:val="List Paragraph"/>
    <w:basedOn w:val="Normalny"/>
    <w:qFormat/>
    <w:rsid w:val="009C1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locked/>
    <w:rsid w:val="00C650F2"/>
    <w:rPr>
      <w:rFonts w:cs="Times New Roman"/>
      <w:lang w:val="pl-PL" w:eastAsia="pl-PL" w:bidi="ar-SA"/>
    </w:rPr>
  </w:style>
  <w:style w:type="paragraph" w:customStyle="1" w:styleId="ListParagraph">
    <w:name w:val="List Paragraph"/>
    <w:basedOn w:val="Normalny"/>
    <w:qFormat/>
    <w:rsid w:val="009C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pl/maps?hl=pl&amp;tab=l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pemsw.gov.pl/files/nmf/12_Zalacznik_Wytyczne%20w%20zakresie%20informacji%20i%20promocj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 </cp:lastModifiedBy>
  <cp:revision>2</cp:revision>
  <cp:lastPrinted>2015-07-16T11:50:00Z</cp:lastPrinted>
  <dcterms:created xsi:type="dcterms:W3CDTF">2015-07-16T12:00:00Z</dcterms:created>
  <dcterms:modified xsi:type="dcterms:W3CDTF">2015-07-16T12:00:00Z</dcterms:modified>
</cp:coreProperties>
</file>