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nr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a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zwanym/ą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r w:rsidRPr="002030D0">
        <w:rPr>
          <w:b/>
          <w:i/>
          <w:sz w:val="24"/>
          <w:szCs w:val="24"/>
        </w:rPr>
        <w:t>po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1361C467" w:rsidR="005C57FB" w:rsidRPr="002030D0" w:rsidRDefault="005C57FB" w:rsidP="008B1F5A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Praca z osobą uzależnioną </w:t>
      </w:r>
      <w:r w:rsidRPr="004E1FF9">
        <w:rPr>
          <w:sz w:val="24"/>
          <w:szCs w:val="24"/>
        </w:rPr>
        <w:t>polegających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r w:rsidRPr="004164E1">
        <w:rPr>
          <w:rFonts w:eastAsia="Calibri"/>
          <w:sz w:val="24"/>
          <w:szCs w:val="24"/>
        </w:rPr>
        <w:t>opracowaniu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132574A3" w14:textId="77777777" w:rsidR="00746721" w:rsidRDefault="00765BAD" w:rsidP="00746721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rPr>
          <w:rFonts w:cs="Tahoma"/>
          <w:color w:val="000000" w:themeColor="text1"/>
          <w:sz w:val="24"/>
          <w:szCs w:val="24"/>
        </w:rPr>
      </w:pPr>
      <w:r w:rsidRPr="004B73C3">
        <w:rPr>
          <w:rFonts w:cs="Tahoma"/>
          <w:color w:val="000000" w:themeColor="text1"/>
          <w:sz w:val="24"/>
          <w:szCs w:val="24"/>
        </w:rPr>
        <w:t>Rodzaje uzależnień, kryteria rozpoznania. Psychologiczny mechanizm uzależnień</w:t>
      </w:r>
      <w:r>
        <w:rPr>
          <w:rFonts w:cs="Tahoma"/>
          <w:color w:val="000000" w:themeColor="text1"/>
          <w:sz w:val="24"/>
          <w:szCs w:val="24"/>
        </w:rPr>
        <w:t>.</w:t>
      </w:r>
    </w:p>
    <w:p w14:paraId="49FD6DF6" w14:textId="77777777" w:rsidR="00746721" w:rsidRDefault="00765BAD" w:rsidP="00746721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rPr>
          <w:rFonts w:cs="Tahoma"/>
          <w:color w:val="000000" w:themeColor="text1"/>
          <w:sz w:val="24"/>
          <w:szCs w:val="24"/>
        </w:rPr>
      </w:pPr>
      <w:r w:rsidRPr="00746721">
        <w:rPr>
          <w:rFonts w:cs="Tahoma"/>
          <w:color w:val="000000" w:themeColor="text1"/>
          <w:sz w:val="24"/>
          <w:szCs w:val="24"/>
        </w:rPr>
        <w:lastRenderedPageBreak/>
        <w:t>Uzależnienia od narkotyków i innych substancji psychoaktywnych – profilaktyka, czynniki ryzyka, diagnoza, formy terapii.</w:t>
      </w:r>
    </w:p>
    <w:p w14:paraId="446502CE" w14:textId="77777777" w:rsidR="00746721" w:rsidRDefault="00765BAD" w:rsidP="00746721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rPr>
          <w:rFonts w:cs="Tahoma"/>
          <w:color w:val="000000" w:themeColor="text1"/>
          <w:sz w:val="24"/>
          <w:szCs w:val="24"/>
        </w:rPr>
      </w:pPr>
      <w:r w:rsidRPr="00746721">
        <w:rPr>
          <w:rFonts w:cs="Tahoma"/>
          <w:color w:val="000000" w:themeColor="text1"/>
          <w:sz w:val="24"/>
          <w:szCs w:val="24"/>
        </w:rPr>
        <w:t>Uzależnienie od alkoholu - profilaktyka, czynniki ryzyka, diagnoza, formy terapii.</w:t>
      </w:r>
    </w:p>
    <w:p w14:paraId="2239E401" w14:textId="77777777" w:rsidR="00746721" w:rsidRDefault="00765BAD" w:rsidP="00746721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rPr>
          <w:rFonts w:cs="Tahoma"/>
          <w:color w:val="000000" w:themeColor="text1"/>
          <w:sz w:val="24"/>
          <w:szCs w:val="24"/>
        </w:rPr>
      </w:pPr>
      <w:r w:rsidRPr="00746721">
        <w:rPr>
          <w:rFonts w:cs="Tahoma"/>
          <w:color w:val="000000" w:themeColor="text1"/>
          <w:sz w:val="24"/>
          <w:szCs w:val="24"/>
        </w:rPr>
        <w:t>Uzależnienia behawioralne, w tym od multimediów - profilaktyka, czynniki ryzyka, diagnoza, formy terapii.</w:t>
      </w:r>
    </w:p>
    <w:p w14:paraId="0894F79B" w14:textId="77777777" w:rsidR="00746721" w:rsidRDefault="00765BAD" w:rsidP="00746721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rPr>
          <w:rFonts w:cs="Tahoma"/>
          <w:color w:val="000000" w:themeColor="text1"/>
          <w:sz w:val="24"/>
          <w:szCs w:val="24"/>
        </w:rPr>
      </w:pPr>
      <w:r w:rsidRPr="00746721">
        <w:rPr>
          <w:rFonts w:cs="Tahoma"/>
          <w:color w:val="000000" w:themeColor="text1"/>
          <w:sz w:val="24"/>
          <w:szCs w:val="24"/>
        </w:rPr>
        <w:t>Komunikacja z osobą uzależnioną – struktura rozmowy, bariery komunikacyjne, dialog motywacyjny.</w:t>
      </w:r>
    </w:p>
    <w:p w14:paraId="23C755E9" w14:textId="55EBBC7D" w:rsidR="00765BAD" w:rsidRPr="00746721" w:rsidRDefault="00765BAD" w:rsidP="00746721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rPr>
          <w:rFonts w:cs="Tahoma"/>
          <w:color w:val="000000" w:themeColor="text1"/>
          <w:sz w:val="24"/>
          <w:szCs w:val="24"/>
        </w:rPr>
      </w:pPr>
      <w:r w:rsidRPr="00746721">
        <w:rPr>
          <w:rFonts w:cs="Tahoma"/>
          <w:color w:val="000000" w:themeColor="text1"/>
          <w:sz w:val="24"/>
          <w:szCs w:val="24"/>
        </w:rPr>
        <w:t>Psychoterapia osób współuzależnionych (fazy współuzależnienia, charakterystyka zachowania, konsekwencje współuzależnienia, terapia).</w:t>
      </w:r>
    </w:p>
    <w:p w14:paraId="32B873E6" w14:textId="77777777" w:rsidR="00622CF7" w:rsidRDefault="004E1FF9" w:rsidP="008B1F5A">
      <w:pPr>
        <w:numPr>
          <w:ilvl w:val="0"/>
          <w:numId w:val="44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r w:rsidRPr="004164E1">
        <w:rPr>
          <w:rFonts w:eastAsia="Calibri"/>
          <w:sz w:val="24"/>
          <w:szCs w:val="24"/>
        </w:rPr>
        <w:t xml:space="preserve">zapewnieniu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r w:rsidRPr="00622CF7">
        <w:rPr>
          <w:sz w:val="24"/>
          <w:szCs w:val="24"/>
        </w:rPr>
        <w:t xml:space="preserve">zwanych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r.,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r w:rsidRPr="00CA2B07">
        <w:rPr>
          <w:sz w:val="24"/>
          <w:szCs w:val="24"/>
        </w:rPr>
        <w:t xml:space="preserve">opracowanie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r w:rsidRPr="001B148A">
        <w:rPr>
          <w:sz w:val="24"/>
          <w:szCs w:val="24"/>
        </w:rPr>
        <w:t>zapewnienie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 xml:space="preserve">ędzie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lastRenderedPageBreak/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>. Wykonawca jest zobowiązany do zawarcia we wkładzie merytorycznym co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 xml:space="preserve">@kssip.gov.pl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BE15BF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szczególności co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bookmarkStart w:id="0" w:name="_GoBack"/>
      <w:bookmarkEnd w:id="0"/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(t.j. Dz.U. 2021 poz. 1062 ) – 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użyczenie,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wprowadzanie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rozpowszechnianie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nadawanie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opracowanie,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zezwolenie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 chwilą przekazania Utworu Zamawiającemu, nabywa on na własność nośnik/i, na którym/ch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lastRenderedPageBreak/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wykonanie Przedmiotu Umowy Wykonawcy przysługuje wynagrodzenie w kwocie łącznej ………….. złotych brutto (słownie: ………………………….00/100), tj.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922AE6">
        <w:rPr>
          <w:sz w:val="24"/>
          <w:szCs w:val="24"/>
        </w:rPr>
        <w:t xml:space="preserve">pierwsza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062060">
        <w:rPr>
          <w:sz w:val="24"/>
          <w:szCs w:val="24"/>
        </w:rPr>
        <w:t xml:space="preserve">druga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</w:t>
      </w:r>
      <w:r w:rsidRPr="002030D0">
        <w:rPr>
          <w:sz w:val="24"/>
          <w:szCs w:val="24"/>
        </w:rPr>
        <w:lastRenderedPageBreak/>
        <w:t>będzie realizowana przelewem na  rachunek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 Wykonawca jest płatnikiem podatku VAT, w sytuacji, gdy wskazany do płatności przez Wykonawcę numer rachunku bankowego nie znajduje się w „Wykazie podmiotów zarejestrowanych jako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zgłoszenia przez osoby trzecie jakichkolwiek roszczeń wobec Zamawiającego w związku z korzystaniem przez niego z praw autorskich, dotyczących Utworu, w szczególności </w:t>
      </w:r>
      <w:r w:rsidRPr="002030D0">
        <w:rPr>
          <w:sz w:val="24"/>
          <w:szCs w:val="24"/>
        </w:rPr>
        <w:lastRenderedPageBreak/>
        <w:t>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r w:rsidRPr="002030D0">
        <w:rPr>
          <w:sz w:val="24"/>
          <w:szCs w:val="24"/>
        </w:rPr>
        <w:t>podjęcie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r w:rsidRPr="002030D0">
        <w:rPr>
          <w:sz w:val="24"/>
          <w:szCs w:val="24"/>
        </w:rPr>
        <w:t>zapłacenie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zostały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gdyby osoba trzecia wystąpiła do Zamawiającego z żądaniem naprawienia szkody powstałej na skutek okoliczności, o których mowa w ust. 1 powyżej, Zamawiający zobowiązuje </w:t>
      </w:r>
      <w:r w:rsidRPr="002030D0">
        <w:rPr>
          <w:sz w:val="24"/>
          <w:szCs w:val="24"/>
        </w:rPr>
        <w:lastRenderedPageBreak/>
        <w:t>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nienależytego wykonywania Umowy przez Wykonawcę, a innego, niż określony w ust. 2, Zamawiający ma prawo obciążyć Wykonawcę karą umowną w wysokości 5%  wynagrodzenia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dla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adres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telefon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adres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dla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adres: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telefon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r w:rsidRPr="002030D0">
        <w:rPr>
          <w:sz w:val="24"/>
          <w:szCs w:val="24"/>
          <w:lang w:val="en-US"/>
        </w:rPr>
        <w:t>adres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chyba że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1 – </w:t>
      </w:r>
      <w:r w:rsidR="00062060">
        <w:rPr>
          <w:sz w:val="24"/>
          <w:szCs w:val="24"/>
        </w:rPr>
        <w:t xml:space="preserve"> Pełnomocnictwo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4 - Wydruk z Centralnej Ewidencji i Informacji o Działalności Gospodarczej /wydruk z Centralnej Informacji Krajowego Rejestru Sądowego (jeśli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5 – Wydruk “Status podmiotu VAT” (jeśli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E03C" w14:textId="77777777" w:rsidR="00BE15BF" w:rsidRDefault="00BE15BF" w:rsidP="00BB5754">
      <w:pPr>
        <w:spacing w:after="0" w:line="240" w:lineRule="auto"/>
      </w:pPr>
      <w:r>
        <w:separator/>
      </w:r>
    </w:p>
  </w:endnote>
  <w:endnote w:type="continuationSeparator" w:id="0">
    <w:p w14:paraId="1F9A240D" w14:textId="77777777" w:rsidR="00BE15BF" w:rsidRDefault="00BE15BF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05E67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05E6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066D6" w14:textId="77777777" w:rsidR="00BE15BF" w:rsidRDefault="00BE15BF" w:rsidP="00BB5754">
      <w:pPr>
        <w:spacing w:after="0" w:line="240" w:lineRule="auto"/>
      </w:pPr>
      <w:r>
        <w:separator/>
      </w:r>
    </w:p>
  </w:footnote>
  <w:footnote w:type="continuationSeparator" w:id="0">
    <w:p w14:paraId="50662B0B" w14:textId="77777777" w:rsidR="00BE15BF" w:rsidRDefault="00BE15BF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7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4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3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4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16"/>
  </w:num>
  <w:num w:numId="4">
    <w:abstractNumId w:val="26"/>
  </w:num>
  <w:num w:numId="5">
    <w:abstractNumId w:val="4"/>
  </w:num>
  <w:num w:numId="6">
    <w:abstractNumId w:val="3"/>
  </w:num>
  <w:num w:numId="7">
    <w:abstractNumId w:val="8"/>
  </w:num>
  <w:num w:numId="8">
    <w:abstractNumId w:val="29"/>
  </w:num>
  <w:num w:numId="9">
    <w:abstractNumId w:val="22"/>
  </w:num>
  <w:num w:numId="10">
    <w:abstractNumId w:val="18"/>
  </w:num>
  <w:num w:numId="11">
    <w:abstractNumId w:val="45"/>
  </w:num>
  <w:num w:numId="12">
    <w:abstractNumId w:val="42"/>
  </w:num>
  <w:num w:numId="13">
    <w:abstractNumId w:val="23"/>
  </w:num>
  <w:num w:numId="14">
    <w:abstractNumId w:val="14"/>
  </w:num>
  <w:num w:numId="15">
    <w:abstractNumId w:val="41"/>
  </w:num>
  <w:num w:numId="16">
    <w:abstractNumId w:val="7"/>
  </w:num>
  <w:num w:numId="17">
    <w:abstractNumId w:val="22"/>
  </w:num>
  <w:num w:numId="18">
    <w:abstractNumId w:val="31"/>
  </w:num>
  <w:num w:numId="19">
    <w:abstractNumId w:val="46"/>
  </w:num>
  <w:num w:numId="20">
    <w:abstractNumId w:val="35"/>
  </w:num>
  <w:num w:numId="21">
    <w:abstractNumId w:val="30"/>
  </w:num>
  <w:num w:numId="22">
    <w:abstractNumId w:val="12"/>
  </w:num>
  <w:num w:numId="23">
    <w:abstractNumId w:val="20"/>
  </w:num>
  <w:num w:numId="24">
    <w:abstractNumId w:val="19"/>
  </w:num>
  <w:num w:numId="25">
    <w:abstractNumId w:val="39"/>
  </w:num>
  <w:num w:numId="26">
    <w:abstractNumId w:val="43"/>
  </w:num>
  <w:num w:numId="27">
    <w:abstractNumId w:val="34"/>
  </w:num>
  <w:num w:numId="28">
    <w:abstractNumId w:val="21"/>
  </w:num>
  <w:num w:numId="29">
    <w:abstractNumId w:val="50"/>
  </w:num>
  <w:num w:numId="30">
    <w:abstractNumId w:val="28"/>
  </w:num>
  <w:num w:numId="31">
    <w:abstractNumId w:val="17"/>
  </w:num>
  <w:num w:numId="32">
    <w:abstractNumId w:val="15"/>
  </w:num>
  <w:num w:numId="33">
    <w:abstractNumId w:val="40"/>
  </w:num>
  <w:num w:numId="34">
    <w:abstractNumId w:val="24"/>
  </w:num>
  <w:num w:numId="35">
    <w:abstractNumId w:val="48"/>
  </w:num>
  <w:num w:numId="36">
    <w:abstractNumId w:val="49"/>
  </w:num>
  <w:num w:numId="37">
    <w:abstractNumId w:val="9"/>
  </w:num>
  <w:num w:numId="38">
    <w:abstractNumId w:val="11"/>
  </w:num>
  <w:num w:numId="39">
    <w:abstractNumId w:val="10"/>
  </w:num>
  <w:num w:numId="40">
    <w:abstractNumId w:val="1"/>
  </w:num>
  <w:num w:numId="41">
    <w:abstractNumId w:val="6"/>
  </w:num>
  <w:num w:numId="42">
    <w:abstractNumId w:val="0"/>
  </w:num>
  <w:num w:numId="43">
    <w:abstractNumId w:val="36"/>
  </w:num>
  <w:num w:numId="44">
    <w:abstractNumId w:val="25"/>
  </w:num>
  <w:num w:numId="45">
    <w:abstractNumId w:val="38"/>
  </w:num>
  <w:num w:numId="46">
    <w:abstractNumId w:val="27"/>
  </w:num>
  <w:num w:numId="47">
    <w:abstractNumId w:val="5"/>
  </w:num>
  <w:num w:numId="48">
    <w:abstractNumId w:val="33"/>
  </w:num>
  <w:num w:numId="49">
    <w:abstractNumId w:val="13"/>
  </w:num>
  <w:num w:numId="50">
    <w:abstractNumId w:val="32"/>
  </w:num>
  <w:num w:numId="51">
    <w:abstractNumId w:val="37"/>
  </w:num>
  <w:num w:numId="52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7943-F863-4DF4-90DC-C69EF45D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3141</Words>
  <Characters>18847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4</cp:revision>
  <cp:lastPrinted>2018-10-08T06:36:00Z</cp:lastPrinted>
  <dcterms:created xsi:type="dcterms:W3CDTF">2022-05-23T08:14:00Z</dcterms:created>
  <dcterms:modified xsi:type="dcterms:W3CDTF">2022-05-23T08:55:00Z</dcterms:modified>
</cp:coreProperties>
</file>