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1C2C880D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r w:rsidR="002955FD">
        <w:rPr>
          <w:sz w:val="24"/>
          <w:szCs w:val="24"/>
          <w:shd w:val="clear" w:color="auto" w:fill="E2EFD9" w:themeFill="accent6" w:themeFillTint="33"/>
        </w:rPr>
        <w:t>Księgi wieczyste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30614DB0" w14:textId="77777777" w:rsidR="002955FD" w:rsidRPr="005F1F48" w:rsidRDefault="002955FD" w:rsidP="002955FD">
      <w:pPr>
        <w:pStyle w:val="Akapitzlist"/>
        <w:numPr>
          <w:ilvl w:val="0"/>
          <w:numId w:val="53"/>
        </w:numPr>
        <w:spacing w:before="120" w:after="0" w:line="360" w:lineRule="auto"/>
        <w:ind w:left="993" w:hanging="357"/>
        <w:jc w:val="both"/>
        <w:rPr>
          <w:sz w:val="24"/>
        </w:rPr>
      </w:pPr>
      <w:r w:rsidRPr="005F1F48">
        <w:rPr>
          <w:sz w:val="24"/>
        </w:rPr>
        <w:t>Zagadnienia ogólne.</w:t>
      </w:r>
    </w:p>
    <w:p w14:paraId="1FEE2B49" w14:textId="77777777" w:rsidR="002955FD" w:rsidRPr="005F1F48" w:rsidRDefault="002955FD" w:rsidP="002955FD">
      <w:pPr>
        <w:pStyle w:val="Akapitzlist"/>
        <w:numPr>
          <w:ilvl w:val="0"/>
          <w:numId w:val="54"/>
        </w:numPr>
        <w:spacing w:before="120" w:after="0" w:line="360" w:lineRule="auto"/>
        <w:ind w:left="993" w:hanging="357"/>
        <w:jc w:val="both"/>
        <w:rPr>
          <w:sz w:val="24"/>
        </w:rPr>
      </w:pPr>
      <w:r w:rsidRPr="005F1F48">
        <w:rPr>
          <w:sz w:val="24"/>
        </w:rPr>
        <w:lastRenderedPageBreak/>
        <w:t>Rys historyczny ksiąg wieczystych, tzw. księgi gruntowe, LWH</w:t>
      </w:r>
    </w:p>
    <w:p w14:paraId="0EFF5AE7" w14:textId="77777777" w:rsidR="002955FD" w:rsidRDefault="002955FD" w:rsidP="002955FD">
      <w:pPr>
        <w:pStyle w:val="Akapitzlist"/>
        <w:numPr>
          <w:ilvl w:val="0"/>
          <w:numId w:val="54"/>
        </w:numPr>
        <w:spacing w:before="120" w:after="0" w:line="360" w:lineRule="auto"/>
        <w:ind w:left="993" w:hanging="357"/>
        <w:jc w:val="both"/>
        <w:rPr>
          <w:sz w:val="24"/>
        </w:rPr>
      </w:pPr>
      <w:r w:rsidRPr="005F1F48">
        <w:rPr>
          <w:sz w:val="24"/>
        </w:rPr>
        <w:t>Oznaczenia ksiąg wieczystych i informacje płynące z oznaczeń</w:t>
      </w:r>
    </w:p>
    <w:p w14:paraId="754EF90D" w14:textId="77777777" w:rsidR="002955FD" w:rsidRDefault="002955FD" w:rsidP="002955FD">
      <w:pPr>
        <w:pStyle w:val="Akapitzlist"/>
        <w:numPr>
          <w:ilvl w:val="0"/>
          <w:numId w:val="53"/>
        </w:numPr>
        <w:spacing w:before="120" w:after="0" w:line="360" w:lineRule="auto"/>
        <w:ind w:left="993" w:hanging="357"/>
        <w:jc w:val="both"/>
        <w:rPr>
          <w:sz w:val="24"/>
        </w:rPr>
      </w:pPr>
      <w:r w:rsidRPr="005F1F48">
        <w:rPr>
          <w:sz w:val="24"/>
        </w:rPr>
        <w:t>Zasady prowadzenia ksiąg wieczystych.</w:t>
      </w:r>
    </w:p>
    <w:p w14:paraId="71B55D35" w14:textId="77777777" w:rsidR="002955FD" w:rsidRDefault="002955FD" w:rsidP="002955FD">
      <w:pPr>
        <w:pStyle w:val="Akapitzlist"/>
        <w:numPr>
          <w:ilvl w:val="0"/>
          <w:numId w:val="55"/>
        </w:numPr>
        <w:spacing w:before="120" w:after="0" w:line="360" w:lineRule="auto"/>
        <w:ind w:left="993" w:hanging="357"/>
        <w:jc w:val="both"/>
        <w:rPr>
          <w:sz w:val="24"/>
        </w:rPr>
      </w:pPr>
      <w:r w:rsidRPr="00D15568">
        <w:rPr>
          <w:sz w:val="24"/>
        </w:rPr>
        <w:t>Zakładanie ksiąg wieczystych</w:t>
      </w:r>
    </w:p>
    <w:p w14:paraId="55C5B343" w14:textId="77777777" w:rsidR="002955FD" w:rsidRDefault="002955FD" w:rsidP="002955FD">
      <w:pPr>
        <w:pStyle w:val="Akapitzlist"/>
        <w:numPr>
          <w:ilvl w:val="0"/>
          <w:numId w:val="55"/>
        </w:numPr>
        <w:spacing w:before="120" w:after="0" w:line="360" w:lineRule="auto"/>
        <w:ind w:left="993" w:hanging="357"/>
        <w:jc w:val="both"/>
        <w:rPr>
          <w:sz w:val="24"/>
        </w:rPr>
      </w:pPr>
      <w:r w:rsidRPr="00D15568">
        <w:rPr>
          <w:sz w:val="24"/>
        </w:rPr>
        <w:t>Wpisy w księgach wieczystych</w:t>
      </w:r>
    </w:p>
    <w:p w14:paraId="1C7AF8AB" w14:textId="77777777" w:rsidR="002955FD" w:rsidRDefault="002955FD" w:rsidP="002955FD">
      <w:pPr>
        <w:pStyle w:val="Akapitzlist"/>
        <w:numPr>
          <w:ilvl w:val="0"/>
          <w:numId w:val="55"/>
        </w:numPr>
        <w:spacing w:before="120" w:after="0" w:line="360" w:lineRule="auto"/>
        <w:ind w:left="993" w:hanging="357"/>
        <w:jc w:val="both"/>
        <w:rPr>
          <w:sz w:val="24"/>
        </w:rPr>
      </w:pPr>
      <w:r w:rsidRPr="00D15568">
        <w:rPr>
          <w:sz w:val="24"/>
        </w:rPr>
        <w:t>Wniosek o zmianę lub wykreślenie informacji z księgi wieczystej, także w zakresie wpisania lub wykreślenia ograniczonych praw rzeczowych, takich jak hipoteka, służebności</w:t>
      </w:r>
    </w:p>
    <w:p w14:paraId="34A27E1B" w14:textId="77777777" w:rsidR="002955FD" w:rsidRPr="00D15568" w:rsidRDefault="002955FD" w:rsidP="002955FD">
      <w:pPr>
        <w:pStyle w:val="Akapitzlist"/>
        <w:numPr>
          <w:ilvl w:val="0"/>
          <w:numId w:val="55"/>
        </w:numPr>
        <w:spacing w:before="120" w:after="0" w:line="360" w:lineRule="auto"/>
        <w:ind w:left="993" w:hanging="357"/>
        <w:jc w:val="both"/>
        <w:rPr>
          <w:sz w:val="24"/>
        </w:rPr>
      </w:pPr>
      <w:r w:rsidRPr="00D15568">
        <w:rPr>
          <w:sz w:val="24"/>
        </w:rPr>
        <w:t>Skarga na orzeczenie referendarza sądowego w postępowaniu wieczystoksięgowym</w:t>
      </w:r>
    </w:p>
    <w:p w14:paraId="58CC9E4F" w14:textId="77777777" w:rsidR="002955FD" w:rsidRPr="003E409A" w:rsidRDefault="002955FD" w:rsidP="002955FD">
      <w:pPr>
        <w:pStyle w:val="Akapitzlist"/>
        <w:numPr>
          <w:ilvl w:val="0"/>
          <w:numId w:val="53"/>
        </w:numPr>
        <w:spacing w:before="120" w:after="0" w:line="360" w:lineRule="auto"/>
        <w:ind w:left="993"/>
        <w:rPr>
          <w:rFonts w:cs="Tahoma"/>
          <w:color w:val="000000" w:themeColor="text1"/>
          <w:sz w:val="24"/>
          <w:szCs w:val="24"/>
        </w:rPr>
      </w:pPr>
      <w:r w:rsidRPr="003E409A">
        <w:rPr>
          <w:sz w:val="24"/>
        </w:rPr>
        <w:t>Hipoteki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</w:t>
      </w:r>
      <w:bookmarkStart w:id="0" w:name="_GoBack"/>
      <w:bookmarkEnd w:id="0"/>
      <w:r w:rsidRPr="004164E1">
        <w:rPr>
          <w:rFonts w:eastAsia="Calibri"/>
          <w:sz w:val="24"/>
          <w:szCs w:val="24"/>
        </w:rPr>
        <w:t>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>w trakcie tworzenia wersji e-learningowej szkolenia polegającej na zagwarantowaniu tożsamości treści merytorycznej wkładu szkolenia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lastRenderedPageBreak/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DE6935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 oświadcza, że przysługiwać mu będą wyłączne i nieograniczone w czasie autorskie prawa majątkowe do Przedmiotu Umowy, o którym mowa w  § 1 ust. 1 Umowy, który – w </w:t>
      </w:r>
      <w:r w:rsidRPr="002030D0">
        <w:rPr>
          <w:sz w:val="24"/>
          <w:szCs w:val="24"/>
        </w:rPr>
        <w:lastRenderedPageBreak/>
        <w:t>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Wykonawca, z chwilą podpisania Protokołu zdawczo-odbiorczego, o którym mowa w ust. 10 niniejszego paragrafu, w ramach wynagrodzenia umownego, przenosi na rzecz Zamawiającego całość autorskich praw majątkowych do Utworu, wymienionego w § 1 ust. 1 niniejszej Umowy. 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lastRenderedPageBreak/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</w:t>
      </w:r>
      <w:r w:rsidRPr="002030D0">
        <w:rPr>
          <w:sz w:val="24"/>
          <w:szCs w:val="24"/>
        </w:rPr>
        <w:lastRenderedPageBreak/>
        <w:t xml:space="preserve">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zgłoszenia przez osoby trzecie jakichkolwiek roszczeń wobec Zamawiającego w związku z korzystaniem przez niego z praw autorskich, dotyczących Utworu, w szczególności </w:t>
      </w:r>
      <w:r w:rsidRPr="002030D0">
        <w:rPr>
          <w:sz w:val="24"/>
          <w:szCs w:val="24"/>
        </w:rPr>
        <w:lastRenderedPageBreak/>
        <w:t>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gdyby osoba trzecia wystąpiła do Zamawiającego z żądaniem naprawienia szkody powstałej na skutek okoliczności, o których mowa w ust. 1 powyżej, Zamawiający zobowiązuje </w:t>
      </w:r>
      <w:r w:rsidRPr="002030D0">
        <w:rPr>
          <w:sz w:val="24"/>
          <w:szCs w:val="24"/>
        </w:rPr>
        <w:lastRenderedPageBreak/>
        <w:t>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Przedmiot Umowy nie jest wykonywany z najwyższą starannością, na odpowiednio wysokim poziomie merytorycznym i według 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4499" w14:textId="77777777" w:rsidR="00DE6935" w:rsidRDefault="00DE6935" w:rsidP="00BB5754">
      <w:pPr>
        <w:spacing w:after="0" w:line="240" w:lineRule="auto"/>
      </w:pPr>
      <w:r>
        <w:separator/>
      </w:r>
    </w:p>
  </w:endnote>
  <w:endnote w:type="continuationSeparator" w:id="0">
    <w:p w14:paraId="4B1CB756" w14:textId="77777777" w:rsidR="00DE6935" w:rsidRDefault="00DE6935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55F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955F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76050" w14:textId="77777777" w:rsidR="00DE6935" w:rsidRDefault="00DE6935" w:rsidP="00BB5754">
      <w:pPr>
        <w:spacing w:after="0" w:line="240" w:lineRule="auto"/>
      </w:pPr>
      <w:r>
        <w:separator/>
      </w:r>
    </w:p>
  </w:footnote>
  <w:footnote w:type="continuationSeparator" w:id="0">
    <w:p w14:paraId="3BEF1153" w14:textId="77777777" w:rsidR="00DE6935" w:rsidRDefault="00DE6935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690AB7"/>
    <w:multiLevelType w:val="hybridMultilevel"/>
    <w:tmpl w:val="6B62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C6D62"/>
    <w:multiLevelType w:val="hybridMultilevel"/>
    <w:tmpl w:val="8A30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ECD4AB1"/>
    <w:multiLevelType w:val="hybridMultilevel"/>
    <w:tmpl w:val="498E3B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0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7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6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7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8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19"/>
  </w:num>
  <w:num w:numId="4">
    <w:abstractNumId w:val="29"/>
  </w:num>
  <w:num w:numId="5">
    <w:abstractNumId w:val="4"/>
  </w:num>
  <w:num w:numId="6">
    <w:abstractNumId w:val="3"/>
  </w:num>
  <w:num w:numId="7">
    <w:abstractNumId w:val="8"/>
  </w:num>
  <w:num w:numId="8">
    <w:abstractNumId w:val="32"/>
  </w:num>
  <w:num w:numId="9">
    <w:abstractNumId w:val="25"/>
  </w:num>
  <w:num w:numId="10">
    <w:abstractNumId w:val="21"/>
  </w:num>
  <w:num w:numId="11">
    <w:abstractNumId w:val="48"/>
  </w:num>
  <w:num w:numId="12">
    <w:abstractNumId w:val="45"/>
  </w:num>
  <w:num w:numId="13">
    <w:abstractNumId w:val="26"/>
  </w:num>
  <w:num w:numId="14">
    <w:abstractNumId w:val="17"/>
  </w:num>
  <w:num w:numId="15">
    <w:abstractNumId w:val="44"/>
  </w:num>
  <w:num w:numId="16">
    <w:abstractNumId w:val="7"/>
  </w:num>
  <w:num w:numId="17">
    <w:abstractNumId w:val="25"/>
  </w:num>
  <w:num w:numId="18">
    <w:abstractNumId w:val="34"/>
  </w:num>
  <w:num w:numId="19">
    <w:abstractNumId w:val="49"/>
  </w:num>
  <w:num w:numId="20">
    <w:abstractNumId w:val="38"/>
  </w:num>
  <w:num w:numId="21">
    <w:abstractNumId w:val="33"/>
  </w:num>
  <w:num w:numId="22">
    <w:abstractNumId w:val="14"/>
  </w:num>
  <w:num w:numId="23">
    <w:abstractNumId w:val="23"/>
  </w:num>
  <w:num w:numId="24">
    <w:abstractNumId w:val="22"/>
  </w:num>
  <w:num w:numId="25">
    <w:abstractNumId w:val="42"/>
  </w:num>
  <w:num w:numId="26">
    <w:abstractNumId w:val="46"/>
  </w:num>
  <w:num w:numId="27">
    <w:abstractNumId w:val="37"/>
  </w:num>
  <w:num w:numId="28">
    <w:abstractNumId w:val="24"/>
  </w:num>
  <w:num w:numId="29">
    <w:abstractNumId w:val="53"/>
  </w:num>
  <w:num w:numId="30">
    <w:abstractNumId w:val="31"/>
  </w:num>
  <w:num w:numId="31">
    <w:abstractNumId w:val="20"/>
  </w:num>
  <w:num w:numId="32">
    <w:abstractNumId w:val="18"/>
  </w:num>
  <w:num w:numId="33">
    <w:abstractNumId w:val="43"/>
  </w:num>
  <w:num w:numId="34">
    <w:abstractNumId w:val="27"/>
  </w:num>
  <w:num w:numId="35">
    <w:abstractNumId w:val="51"/>
  </w:num>
  <w:num w:numId="36">
    <w:abstractNumId w:val="52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9"/>
  </w:num>
  <w:num w:numId="44">
    <w:abstractNumId w:val="28"/>
  </w:num>
  <w:num w:numId="45">
    <w:abstractNumId w:val="41"/>
  </w:num>
  <w:num w:numId="46">
    <w:abstractNumId w:val="30"/>
  </w:num>
  <w:num w:numId="47">
    <w:abstractNumId w:val="5"/>
  </w:num>
  <w:num w:numId="48">
    <w:abstractNumId w:val="36"/>
  </w:num>
  <w:num w:numId="49">
    <w:abstractNumId w:val="15"/>
  </w:num>
  <w:num w:numId="50">
    <w:abstractNumId w:val="35"/>
  </w:num>
  <w:num w:numId="51">
    <w:abstractNumId w:val="40"/>
  </w:num>
  <w:num w:numId="52">
    <w:abstractNumId w:val="50"/>
  </w:num>
  <w:num w:numId="53">
    <w:abstractNumId w:val="13"/>
  </w:num>
  <w:num w:numId="54">
    <w:abstractNumId w:val="12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955F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935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4936-28DF-4FCA-87BF-976CFE4C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3122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5</cp:revision>
  <cp:lastPrinted>2018-10-08T06:36:00Z</cp:lastPrinted>
  <dcterms:created xsi:type="dcterms:W3CDTF">2022-05-23T08:14:00Z</dcterms:created>
  <dcterms:modified xsi:type="dcterms:W3CDTF">2022-05-23T09:35:00Z</dcterms:modified>
</cp:coreProperties>
</file>