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45" w:rsidRDefault="00B60845" w:rsidP="00B4246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60845">
        <w:rPr>
          <w:b/>
          <w:bCs/>
          <w:sz w:val="32"/>
          <w:szCs w:val="32"/>
        </w:rPr>
        <w:t>Procedural rights in EU criminal law</w:t>
      </w:r>
    </w:p>
    <w:p w:rsidR="00B42460" w:rsidRPr="00471C43" w:rsidRDefault="00B42460" w:rsidP="00E20735">
      <w:pPr>
        <w:jc w:val="center"/>
        <w:rPr>
          <w:rFonts w:ascii="Arial" w:hAnsi="Arial" w:cs="Arial"/>
          <w:b/>
          <w:sz w:val="32"/>
          <w:szCs w:val="32"/>
        </w:rPr>
      </w:pPr>
      <w:r w:rsidRPr="00471C43">
        <w:rPr>
          <w:rFonts w:ascii="Arial" w:hAnsi="Arial" w:cs="Arial"/>
          <w:b/>
          <w:sz w:val="32"/>
          <w:szCs w:val="32"/>
        </w:rPr>
        <w:t>PROGRAM</w:t>
      </w:r>
    </w:p>
    <w:p w:rsidR="00B42460" w:rsidRPr="001A2C0F" w:rsidRDefault="00B60845" w:rsidP="00B4246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Day 1</w:t>
      </w:r>
    </w:p>
    <w:tbl>
      <w:tblPr>
        <w:tblW w:w="964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780"/>
        <w:gridCol w:w="7868"/>
      </w:tblGrid>
      <w:tr w:rsidR="00B42460" w:rsidRPr="0024105E" w:rsidTr="003F0554">
        <w:trPr>
          <w:trHeight w:val="851"/>
        </w:trPr>
        <w:tc>
          <w:tcPr>
            <w:tcW w:w="1780" w:type="dxa"/>
            <w:tcBorders>
              <w:top w:val="nil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B42460" w:rsidRPr="0024105E" w:rsidRDefault="00B42460" w:rsidP="003F0554">
            <w:pPr>
              <w:rPr>
                <w:rFonts w:ascii="Arial" w:hAnsi="Arial" w:cs="Arial"/>
                <w:bCs/>
              </w:rPr>
            </w:pPr>
            <w:r w:rsidRPr="0024105E">
              <w:rPr>
                <w:rFonts w:ascii="Arial" w:hAnsi="Arial" w:cs="Arial"/>
                <w:bCs/>
              </w:rPr>
              <w:t>9:15</w:t>
            </w:r>
            <w:r w:rsidR="0024105E">
              <w:rPr>
                <w:rFonts w:ascii="Arial" w:hAnsi="Arial" w:cs="Arial"/>
                <w:bCs/>
              </w:rPr>
              <w:t xml:space="preserve"> – 9:30</w:t>
            </w:r>
          </w:p>
        </w:tc>
        <w:tc>
          <w:tcPr>
            <w:tcW w:w="7868" w:type="dxa"/>
            <w:tcBorders>
              <w:left w:val="nil"/>
            </w:tcBorders>
            <w:shd w:val="pct20" w:color="000000" w:fill="FFFFFF"/>
            <w:vAlign w:val="center"/>
          </w:tcPr>
          <w:p w:rsidR="00B42460" w:rsidRPr="0024105E" w:rsidRDefault="00B42460" w:rsidP="003F0554">
            <w:pPr>
              <w:rPr>
                <w:rFonts w:ascii="Arial" w:hAnsi="Arial" w:cs="Arial"/>
                <w:bCs/>
              </w:rPr>
            </w:pPr>
            <w:r w:rsidRPr="0024105E">
              <w:rPr>
                <w:rFonts w:ascii="Arial" w:hAnsi="Arial" w:cs="Arial"/>
                <w:bCs/>
              </w:rPr>
              <w:t>Arrival and registration of participants</w:t>
            </w:r>
          </w:p>
        </w:tc>
      </w:tr>
      <w:tr w:rsidR="00B42460" w:rsidRPr="00DD13D0" w:rsidTr="0024105E">
        <w:trPr>
          <w:trHeight w:val="851"/>
        </w:trPr>
        <w:tc>
          <w:tcPr>
            <w:tcW w:w="178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  <w:r w:rsidR="00241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241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11:0</w:t>
            </w:r>
            <w:r w:rsidRPr="00DD13D0">
              <w:rPr>
                <w:rFonts w:ascii="Arial" w:hAnsi="Arial" w:cs="Arial"/>
              </w:rPr>
              <w:t>0</w:t>
            </w:r>
          </w:p>
        </w:tc>
        <w:tc>
          <w:tcPr>
            <w:tcW w:w="7868" w:type="dxa"/>
            <w:tcBorders>
              <w:left w:val="nil"/>
            </w:tcBorders>
            <w:shd w:val="clear" w:color="auto" w:fill="F2F2F2"/>
            <w:vAlign w:val="center"/>
          </w:tcPr>
          <w:p w:rsidR="001A7649" w:rsidRPr="00E20735" w:rsidRDefault="001A7649" w:rsidP="001A7649">
            <w:pPr>
              <w:rPr>
                <w:rFonts w:ascii="Arial" w:hAnsi="Arial" w:cs="Arial"/>
              </w:rPr>
            </w:pPr>
            <w:r w:rsidRPr="00E20735">
              <w:rPr>
                <w:rFonts w:ascii="Arial" w:hAnsi="Arial" w:cs="Arial"/>
              </w:rPr>
              <w:t xml:space="preserve">General overview of the judicial cooperation instruments within EU legislation: available instruments, status of implementation, electronic tools. Principles of mutual recognition.    </w:t>
            </w:r>
          </w:p>
          <w:p w:rsidR="001A7649" w:rsidRPr="00E20735" w:rsidRDefault="001A7649" w:rsidP="001A7649">
            <w:pPr>
              <w:rPr>
                <w:rFonts w:ascii="Arial" w:hAnsi="Arial" w:cs="Arial"/>
              </w:rPr>
            </w:pPr>
            <w:r w:rsidRPr="00E20735">
              <w:rPr>
                <w:rFonts w:ascii="Arial" w:hAnsi="Arial" w:cs="Arial"/>
              </w:rPr>
              <w:t>Presentation of several new instruments:</w:t>
            </w:r>
          </w:p>
          <w:p w:rsidR="001A7649" w:rsidRPr="00E20735" w:rsidRDefault="00617C60" w:rsidP="001A7649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</w:rPr>
            </w:pPr>
            <w:hyperlink r:id="rId9" w:history="1">
              <w:r w:rsidR="001A7649" w:rsidRPr="00E20735">
                <w:rPr>
                  <w:rFonts w:ascii="Arial" w:eastAsia="Calibri" w:hAnsi="Arial" w:cs="Arial"/>
                </w:rPr>
                <w:t>Directive 2010/64/EU of the European Parliament and of the Council of 20 October 2010 on the right to interpretation and translation in criminal proceedings</w:t>
              </w:r>
            </w:hyperlink>
            <w:r w:rsidR="001A7649" w:rsidRPr="00E20735">
              <w:rPr>
                <w:rFonts w:ascii="Arial" w:eastAsia="Calibri" w:hAnsi="Arial" w:cs="Arial"/>
              </w:rPr>
              <w:t>;</w:t>
            </w:r>
          </w:p>
          <w:p w:rsidR="001A7649" w:rsidRPr="00E20735" w:rsidRDefault="00617C60" w:rsidP="001A7649">
            <w:pPr>
              <w:pStyle w:val="Akapitzlist"/>
              <w:numPr>
                <w:ilvl w:val="0"/>
                <w:numId w:val="1"/>
              </w:numPr>
              <w:rPr>
                <w:rFonts w:ascii="Arial" w:eastAsia="Calibri" w:hAnsi="Arial" w:cs="Arial"/>
              </w:rPr>
            </w:pPr>
            <w:hyperlink r:id="rId10" w:history="1">
              <w:r w:rsidR="001A7649" w:rsidRPr="00E20735">
                <w:rPr>
                  <w:rFonts w:ascii="Arial" w:eastAsia="Calibri" w:hAnsi="Arial" w:cs="Arial"/>
                </w:rPr>
                <w:t>Directive 2012/13/EU of the European Parliament and of the Council of 22 May 2012 on the right to information in criminal proceedings</w:t>
              </w:r>
            </w:hyperlink>
            <w:r w:rsidR="001A7649" w:rsidRPr="00E20735">
              <w:rPr>
                <w:rFonts w:ascii="Arial" w:eastAsia="Calibri" w:hAnsi="Arial" w:cs="Arial"/>
              </w:rPr>
              <w:t>;</w:t>
            </w:r>
          </w:p>
          <w:p w:rsidR="00B42460" w:rsidRPr="001A7649" w:rsidRDefault="00617C60" w:rsidP="003F0554">
            <w:pPr>
              <w:pStyle w:val="Akapitzlist"/>
              <w:numPr>
                <w:ilvl w:val="0"/>
                <w:numId w:val="1"/>
              </w:numPr>
              <w:rPr>
                <w:bCs/>
                <w:color w:val="1F497D"/>
                <w:sz w:val="24"/>
                <w:szCs w:val="24"/>
                <w:lang w:val="en-GB"/>
              </w:rPr>
            </w:pPr>
            <w:hyperlink r:id="rId11" w:history="1">
              <w:r w:rsidR="001A7649" w:rsidRPr="00E20735">
                <w:rPr>
                  <w:rFonts w:ascii="Arial" w:eastAsia="Calibri" w:hAnsi="Arial" w:cs="Arial"/>
                </w:rPr>
                <w:t>Directive 2013/48/EU on the right of access to a lawyer in criminal proceedings and in European arrest warrant proceedings, and on the right to have a third party informed upon deprivation of liberty and to communicate with third persons</w:t>
              </w:r>
            </w:hyperlink>
            <w:r w:rsidR="001A7649" w:rsidRPr="00E20735">
              <w:rPr>
                <w:rFonts w:ascii="Arial" w:eastAsia="Calibri" w:hAnsi="Arial" w:cs="Arial"/>
              </w:rPr>
              <w:t>.</w:t>
            </w:r>
          </w:p>
        </w:tc>
      </w:tr>
      <w:tr w:rsidR="00B42460" w:rsidRPr="00DD13D0" w:rsidTr="0024105E">
        <w:trPr>
          <w:trHeight w:val="851"/>
        </w:trPr>
        <w:tc>
          <w:tcPr>
            <w:tcW w:w="178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BFBFB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</w:t>
            </w:r>
            <w:r w:rsidRPr="00DD13D0">
              <w:rPr>
                <w:rFonts w:ascii="Arial" w:hAnsi="Arial" w:cs="Arial"/>
              </w:rPr>
              <w:t>0</w:t>
            </w:r>
            <w:r w:rsidR="0024105E">
              <w:rPr>
                <w:rFonts w:ascii="Arial" w:hAnsi="Arial" w:cs="Arial"/>
              </w:rPr>
              <w:t xml:space="preserve"> – 11:15</w:t>
            </w:r>
          </w:p>
        </w:tc>
        <w:tc>
          <w:tcPr>
            <w:tcW w:w="7868" w:type="dxa"/>
            <w:tcBorders>
              <w:left w:val="nil"/>
            </w:tcBorders>
            <w:shd w:val="clear" w:color="auto" w:fill="BFBFB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>Coffee break</w:t>
            </w:r>
          </w:p>
        </w:tc>
      </w:tr>
      <w:tr w:rsidR="00B42460" w:rsidRPr="00DD13D0" w:rsidTr="0024105E">
        <w:trPr>
          <w:trHeight w:val="851"/>
        </w:trPr>
        <w:tc>
          <w:tcPr>
            <w:tcW w:w="178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</w:t>
            </w:r>
            <w:r w:rsidRPr="00DD13D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12:15</w:t>
            </w:r>
          </w:p>
        </w:tc>
        <w:tc>
          <w:tcPr>
            <w:tcW w:w="7868" w:type="dxa"/>
            <w:tcBorders>
              <w:left w:val="nil"/>
            </w:tcBorders>
            <w:shd w:val="clear" w:color="auto" w:fill="F2F2F2"/>
            <w:vAlign w:val="center"/>
          </w:tcPr>
          <w:p w:rsidR="00B42460" w:rsidRPr="00DD13D0" w:rsidRDefault="001A7649" w:rsidP="0098456D">
            <w:pPr>
              <w:rPr>
                <w:rFonts w:ascii="Arial" w:hAnsi="Arial" w:cs="Arial"/>
              </w:rPr>
            </w:pPr>
            <w:r w:rsidRPr="00E20735">
              <w:rPr>
                <w:rFonts w:ascii="Arial" w:hAnsi="Arial" w:cs="Arial"/>
              </w:rPr>
              <w:t>Charter of fundamental rights of the European Union</w:t>
            </w:r>
            <w:r w:rsidR="0098456D" w:rsidRPr="00E20735">
              <w:rPr>
                <w:rFonts w:ascii="Arial" w:hAnsi="Arial" w:cs="Arial"/>
              </w:rPr>
              <w:t xml:space="preserve"> and </w:t>
            </w:r>
            <w:r w:rsidRPr="00E20735">
              <w:rPr>
                <w:rFonts w:ascii="Arial" w:hAnsi="Arial" w:cs="Arial"/>
              </w:rPr>
              <w:t xml:space="preserve">references to the </w:t>
            </w:r>
            <w:r w:rsidR="0098456D" w:rsidRPr="00E20735">
              <w:rPr>
                <w:rFonts w:ascii="Arial" w:hAnsi="Arial" w:cs="Arial"/>
              </w:rPr>
              <w:t>ECHR. P</w:t>
            </w:r>
            <w:r w:rsidRPr="00E20735">
              <w:rPr>
                <w:rFonts w:ascii="Arial" w:hAnsi="Arial" w:cs="Arial"/>
              </w:rPr>
              <w:t>rocedural rights within the EU</w:t>
            </w:r>
          </w:p>
        </w:tc>
      </w:tr>
      <w:tr w:rsidR="00B42460" w:rsidRPr="00DD13D0" w:rsidTr="0024105E">
        <w:trPr>
          <w:trHeight w:val="851"/>
        </w:trPr>
        <w:tc>
          <w:tcPr>
            <w:tcW w:w="178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BFBFB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12:15 – 13:00 </w:t>
            </w:r>
          </w:p>
        </w:tc>
        <w:tc>
          <w:tcPr>
            <w:tcW w:w="7868" w:type="dxa"/>
            <w:tcBorders>
              <w:left w:val="nil"/>
            </w:tcBorders>
            <w:shd w:val="clear" w:color="auto" w:fill="BFBFBF"/>
            <w:vAlign w:val="center"/>
          </w:tcPr>
          <w:p w:rsidR="00B42460" w:rsidRDefault="00B42460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Linguistic training</w:t>
            </w:r>
          </w:p>
          <w:p w:rsidR="0024105E" w:rsidRPr="00DD13D0" w:rsidRDefault="0024105E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Mrs. Roxana Constantinescu</w:t>
            </w:r>
          </w:p>
        </w:tc>
      </w:tr>
      <w:tr w:rsidR="00B42460" w:rsidRPr="00DD13D0" w:rsidTr="003F0554">
        <w:trPr>
          <w:trHeight w:val="851"/>
        </w:trPr>
        <w:tc>
          <w:tcPr>
            <w:tcW w:w="178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>13:00</w:t>
            </w:r>
            <w:r w:rsidR="0024105E">
              <w:rPr>
                <w:rFonts w:ascii="Arial" w:hAnsi="Arial" w:cs="Arial"/>
              </w:rPr>
              <w:t xml:space="preserve"> – 14:00</w:t>
            </w:r>
          </w:p>
        </w:tc>
        <w:tc>
          <w:tcPr>
            <w:tcW w:w="7868" w:type="dxa"/>
            <w:tcBorders>
              <w:left w:val="nil"/>
            </w:tcBorders>
            <w:shd w:val="pct5" w:color="000000" w:fill="FFFFF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>Lunch</w:t>
            </w:r>
          </w:p>
        </w:tc>
      </w:tr>
      <w:tr w:rsidR="00B42460" w:rsidRPr="00DD13D0" w:rsidTr="003F0554">
        <w:trPr>
          <w:trHeight w:val="851"/>
        </w:trPr>
        <w:tc>
          <w:tcPr>
            <w:tcW w:w="178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lastRenderedPageBreak/>
              <w:t>14:00</w:t>
            </w:r>
            <w:r w:rsidR="0024105E">
              <w:rPr>
                <w:rFonts w:ascii="Arial" w:hAnsi="Arial" w:cs="Arial"/>
              </w:rPr>
              <w:t xml:space="preserve"> – 15:00</w:t>
            </w:r>
          </w:p>
        </w:tc>
        <w:tc>
          <w:tcPr>
            <w:tcW w:w="7868" w:type="dxa"/>
            <w:tcBorders>
              <w:left w:val="nil"/>
            </w:tcBorders>
            <w:shd w:val="pct20" w:color="000000" w:fill="FFFFFF"/>
            <w:vAlign w:val="center"/>
          </w:tcPr>
          <w:p w:rsidR="0024105E" w:rsidRPr="00DD13D0" w:rsidRDefault="00B42460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>Moot court. Executing an EAW. Presentin</w:t>
            </w:r>
            <w:r w:rsidR="0024105E">
              <w:rPr>
                <w:rFonts w:ascii="Arial" w:hAnsi="Arial" w:cs="Arial"/>
              </w:rPr>
              <w:t>g a hearing in a Romanian court</w:t>
            </w:r>
          </w:p>
        </w:tc>
      </w:tr>
      <w:tr w:rsidR="00B42460" w:rsidRPr="00DD13D0" w:rsidTr="003F0554">
        <w:trPr>
          <w:trHeight w:val="851"/>
        </w:trPr>
        <w:tc>
          <w:tcPr>
            <w:tcW w:w="178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>15:00</w:t>
            </w:r>
            <w:r w:rsidR="0024105E">
              <w:rPr>
                <w:rFonts w:ascii="Arial" w:hAnsi="Arial" w:cs="Arial"/>
              </w:rPr>
              <w:t xml:space="preserve"> – 15:15</w:t>
            </w:r>
          </w:p>
        </w:tc>
        <w:tc>
          <w:tcPr>
            <w:tcW w:w="7868" w:type="dxa"/>
            <w:tcBorders>
              <w:left w:val="nil"/>
            </w:tcBorders>
            <w:shd w:val="pct5" w:color="000000" w:fill="FFFFF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>Coffee break</w:t>
            </w:r>
          </w:p>
        </w:tc>
      </w:tr>
      <w:tr w:rsidR="00B60845" w:rsidRPr="00DD13D0" w:rsidTr="00B60845">
        <w:trPr>
          <w:trHeight w:val="851"/>
        </w:trPr>
        <w:tc>
          <w:tcPr>
            <w:tcW w:w="1780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BFBFBF" w:themeFill="background1" w:themeFillShade="BF"/>
            <w:vAlign w:val="center"/>
          </w:tcPr>
          <w:p w:rsidR="00B60845" w:rsidRPr="00DD13D0" w:rsidRDefault="00B60845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 – 17:00</w:t>
            </w:r>
          </w:p>
        </w:tc>
        <w:tc>
          <w:tcPr>
            <w:tcW w:w="786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B60845" w:rsidRPr="00DD13D0" w:rsidRDefault="00B60845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</w:t>
            </w:r>
            <w:r w:rsidR="00757A4E">
              <w:rPr>
                <w:rFonts w:ascii="Arial" w:hAnsi="Arial" w:cs="Arial"/>
              </w:rPr>
              <w:t xml:space="preserve"> no.1</w:t>
            </w:r>
            <w:r w:rsidR="00B7032C">
              <w:rPr>
                <w:rFonts w:ascii="Arial" w:hAnsi="Arial" w:cs="Arial"/>
              </w:rPr>
              <w:t>. Study cases</w:t>
            </w:r>
          </w:p>
        </w:tc>
      </w:tr>
    </w:tbl>
    <w:p w:rsidR="00B42460" w:rsidRDefault="00B42460" w:rsidP="00B42460">
      <w:pPr>
        <w:rPr>
          <w:rFonts w:ascii="Palatino Linotype" w:hAnsi="Palatino Linotype"/>
          <w:sz w:val="28"/>
          <w:szCs w:val="28"/>
        </w:rPr>
      </w:pPr>
    </w:p>
    <w:p w:rsidR="00B42460" w:rsidRPr="00B7032C" w:rsidRDefault="00B7032C" w:rsidP="00B42460">
      <w:pPr>
        <w:rPr>
          <w:rFonts w:ascii="Arial" w:hAnsi="Arial" w:cs="Arial"/>
          <w:sz w:val="32"/>
          <w:szCs w:val="32"/>
        </w:rPr>
      </w:pPr>
      <w:r w:rsidRPr="00B7032C">
        <w:rPr>
          <w:rFonts w:ascii="Arial" w:hAnsi="Arial" w:cs="Arial"/>
          <w:sz w:val="32"/>
          <w:szCs w:val="32"/>
        </w:rPr>
        <w:t>Day 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5"/>
      </w:tblGrid>
      <w:tr w:rsidR="00B7032C" w:rsidRPr="00B7032C" w:rsidTr="00757A4E">
        <w:trPr>
          <w:trHeight w:hRule="exact" w:val="680"/>
        </w:trPr>
        <w:tc>
          <w:tcPr>
            <w:tcW w:w="1951" w:type="dxa"/>
            <w:shd w:val="clear" w:color="auto" w:fill="BFBFBF" w:themeFill="background1" w:themeFillShade="BF"/>
          </w:tcPr>
          <w:p w:rsidR="00B7032C" w:rsidRDefault="00B7032C" w:rsidP="00B42460">
            <w:pPr>
              <w:rPr>
                <w:rFonts w:ascii="Arial" w:hAnsi="Arial" w:cs="Arial"/>
                <w:bCs/>
              </w:rPr>
            </w:pPr>
          </w:p>
          <w:p w:rsidR="00B7032C" w:rsidRPr="00B7032C" w:rsidRDefault="00757A4E" w:rsidP="00B424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 – 10:3</w:t>
            </w:r>
            <w:r w:rsidR="00B7032C" w:rsidRPr="00B7032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625" w:type="dxa"/>
            <w:shd w:val="clear" w:color="auto" w:fill="BFBFBF" w:themeFill="background1" w:themeFillShade="BF"/>
          </w:tcPr>
          <w:p w:rsidR="00B7032C" w:rsidRDefault="00B7032C" w:rsidP="00B42460">
            <w:pPr>
              <w:rPr>
                <w:rFonts w:ascii="Arial" w:hAnsi="Arial" w:cs="Arial"/>
                <w:bCs/>
              </w:rPr>
            </w:pPr>
          </w:p>
          <w:p w:rsidR="00B7032C" w:rsidRDefault="00B7032C" w:rsidP="00B42460">
            <w:pPr>
              <w:rPr>
                <w:rFonts w:ascii="Arial" w:hAnsi="Arial" w:cs="Arial"/>
                <w:bCs/>
              </w:rPr>
            </w:pPr>
            <w:r w:rsidRPr="0024105E">
              <w:rPr>
                <w:rFonts w:ascii="Arial" w:hAnsi="Arial" w:cs="Arial"/>
                <w:bCs/>
              </w:rPr>
              <w:t>Executing</w:t>
            </w:r>
            <w:r>
              <w:rPr>
                <w:rFonts w:ascii="Arial" w:hAnsi="Arial" w:cs="Arial"/>
                <w:bCs/>
              </w:rPr>
              <w:t xml:space="preserve"> the requests in separate rooms</w:t>
            </w:r>
          </w:p>
          <w:p w:rsidR="00B7032C" w:rsidRPr="00B7032C" w:rsidRDefault="00B7032C" w:rsidP="00B42460">
            <w:pPr>
              <w:rPr>
                <w:rFonts w:ascii="Arial" w:hAnsi="Arial" w:cs="Arial"/>
                <w:bCs/>
              </w:rPr>
            </w:pPr>
          </w:p>
        </w:tc>
      </w:tr>
      <w:tr w:rsidR="00B7032C" w:rsidTr="00757A4E">
        <w:trPr>
          <w:trHeight w:hRule="exact" w:val="680"/>
        </w:trPr>
        <w:tc>
          <w:tcPr>
            <w:tcW w:w="1951" w:type="dxa"/>
            <w:shd w:val="clear" w:color="auto" w:fill="F2F2F2" w:themeFill="background1" w:themeFillShade="F2"/>
          </w:tcPr>
          <w:p w:rsidR="00757A4E" w:rsidRDefault="00757A4E" w:rsidP="00BA5BED">
            <w:pPr>
              <w:rPr>
                <w:rFonts w:ascii="Arial" w:hAnsi="Arial" w:cs="Arial"/>
                <w:bCs/>
              </w:rPr>
            </w:pPr>
          </w:p>
          <w:p w:rsidR="00B7032C" w:rsidRPr="00757A4E" w:rsidRDefault="00757A4E" w:rsidP="00BA5B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10:30 – 11:00</w:t>
            </w:r>
          </w:p>
        </w:tc>
        <w:tc>
          <w:tcPr>
            <w:tcW w:w="7625" w:type="dxa"/>
            <w:shd w:val="clear" w:color="auto" w:fill="F2F2F2" w:themeFill="background1" w:themeFillShade="F2"/>
          </w:tcPr>
          <w:p w:rsidR="00757A4E" w:rsidRDefault="00757A4E" w:rsidP="00BA5BED">
            <w:pPr>
              <w:rPr>
                <w:rFonts w:ascii="Arial" w:hAnsi="Arial" w:cs="Arial"/>
                <w:bCs/>
              </w:rPr>
            </w:pPr>
          </w:p>
          <w:p w:rsidR="00757A4E" w:rsidRPr="00757A4E" w:rsidRDefault="00757A4E" w:rsidP="00757A4E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Feed-back from the workshops</w:t>
            </w:r>
          </w:p>
        </w:tc>
      </w:tr>
      <w:tr w:rsidR="00B7032C" w:rsidTr="00757A4E">
        <w:trPr>
          <w:trHeight w:hRule="exact" w:val="680"/>
        </w:trPr>
        <w:tc>
          <w:tcPr>
            <w:tcW w:w="1951" w:type="dxa"/>
            <w:shd w:val="clear" w:color="auto" w:fill="BFBFBF" w:themeFill="background1" w:themeFillShade="BF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B7032C" w:rsidRPr="00757A4E" w:rsidRDefault="00757A4E" w:rsidP="00B42460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11:00 – 11:30</w:t>
            </w:r>
          </w:p>
        </w:tc>
        <w:tc>
          <w:tcPr>
            <w:tcW w:w="7625" w:type="dxa"/>
            <w:shd w:val="clear" w:color="auto" w:fill="BFBFBF" w:themeFill="background1" w:themeFillShade="BF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757A4E" w:rsidRDefault="00757A4E" w:rsidP="00757A4E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 xml:space="preserve">Coffee break </w:t>
            </w:r>
          </w:p>
          <w:p w:rsidR="00B7032C" w:rsidRPr="00757A4E" w:rsidRDefault="00B7032C" w:rsidP="00B42460">
            <w:pPr>
              <w:rPr>
                <w:rFonts w:ascii="Arial" w:hAnsi="Arial" w:cs="Arial"/>
                <w:bCs/>
              </w:rPr>
            </w:pPr>
          </w:p>
        </w:tc>
      </w:tr>
      <w:tr w:rsidR="00B7032C" w:rsidTr="00FF16EB">
        <w:trPr>
          <w:trHeight w:hRule="exact" w:val="945"/>
        </w:trPr>
        <w:tc>
          <w:tcPr>
            <w:tcW w:w="1951" w:type="dxa"/>
            <w:shd w:val="clear" w:color="auto" w:fill="F2F2F2" w:themeFill="background1" w:themeFillShade="F2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B7032C" w:rsidRPr="00757A4E" w:rsidRDefault="00757A4E" w:rsidP="00B42460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11:30 – 13:00</w:t>
            </w:r>
          </w:p>
        </w:tc>
        <w:tc>
          <w:tcPr>
            <w:tcW w:w="7625" w:type="dxa"/>
            <w:shd w:val="clear" w:color="auto" w:fill="F2F2F2" w:themeFill="background1" w:themeFillShade="F2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B7032C" w:rsidRPr="00757A4E" w:rsidRDefault="0098456D" w:rsidP="0098456D">
            <w:pPr>
              <w:rPr>
                <w:rFonts w:ascii="Arial" w:hAnsi="Arial" w:cs="Arial"/>
                <w:bCs/>
              </w:rPr>
            </w:pPr>
            <w:r w:rsidRPr="00E20735">
              <w:rPr>
                <w:rFonts w:ascii="Arial" w:hAnsi="Arial" w:cs="Arial"/>
                <w:bCs/>
              </w:rPr>
              <w:t>European Arrest Warrant from the perspective of procedural rights of the requested person. The principle of ne bis in idem</w:t>
            </w:r>
          </w:p>
        </w:tc>
      </w:tr>
      <w:tr w:rsidR="00B7032C" w:rsidTr="00757A4E">
        <w:trPr>
          <w:trHeight w:hRule="exact" w:val="680"/>
        </w:trPr>
        <w:tc>
          <w:tcPr>
            <w:tcW w:w="1951" w:type="dxa"/>
            <w:shd w:val="clear" w:color="auto" w:fill="BFBFBF" w:themeFill="background1" w:themeFillShade="BF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B7032C" w:rsidRPr="00757A4E" w:rsidRDefault="00757A4E" w:rsidP="00B42460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13:00 – 14:00</w:t>
            </w:r>
          </w:p>
        </w:tc>
        <w:tc>
          <w:tcPr>
            <w:tcW w:w="7625" w:type="dxa"/>
            <w:shd w:val="clear" w:color="auto" w:fill="BFBFBF" w:themeFill="background1" w:themeFillShade="BF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757A4E" w:rsidRDefault="00757A4E" w:rsidP="00B42460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Lunch</w:t>
            </w:r>
          </w:p>
          <w:p w:rsidR="00B7032C" w:rsidRPr="00757A4E" w:rsidRDefault="00B7032C" w:rsidP="00B42460">
            <w:pPr>
              <w:rPr>
                <w:rFonts w:ascii="Arial" w:hAnsi="Arial" w:cs="Arial"/>
                <w:bCs/>
              </w:rPr>
            </w:pPr>
          </w:p>
        </w:tc>
      </w:tr>
      <w:tr w:rsidR="00B7032C" w:rsidTr="00FF16EB">
        <w:trPr>
          <w:trHeight w:hRule="exact" w:val="936"/>
        </w:trPr>
        <w:tc>
          <w:tcPr>
            <w:tcW w:w="1951" w:type="dxa"/>
            <w:shd w:val="clear" w:color="auto" w:fill="F2F2F2" w:themeFill="background1" w:themeFillShade="F2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757A4E" w:rsidRDefault="00757A4E" w:rsidP="00B42460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14:00 – 15:30</w:t>
            </w:r>
          </w:p>
          <w:p w:rsidR="00B7032C" w:rsidRPr="00757A4E" w:rsidRDefault="00B7032C" w:rsidP="00B424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25" w:type="dxa"/>
            <w:shd w:val="clear" w:color="auto" w:fill="F2F2F2" w:themeFill="background1" w:themeFillShade="F2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B7032C" w:rsidRPr="00757A4E" w:rsidRDefault="00757A4E" w:rsidP="0098456D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Workshop no. 2</w:t>
            </w:r>
            <w:r w:rsidR="008D115A">
              <w:rPr>
                <w:rFonts w:ascii="Arial" w:hAnsi="Arial" w:cs="Arial"/>
                <w:bCs/>
              </w:rPr>
              <w:t xml:space="preserve"> (</w:t>
            </w:r>
            <w:r w:rsidR="008D115A" w:rsidRPr="008D115A">
              <w:rPr>
                <w:rFonts w:ascii="Arial" w:hAnsi="Arial" w:cs="Arial"/>
                <w:bCs/>
                <w:i/>
              </w:rPr>
              <w:t>ne bis in idem</w:t>
            </w:r>
            <w:r w:rsidR="008D115A">
              <w:rPr>
                <w:rFonts w:ascii="Arial" w:hAnsi="Arial" w:cs="Arial"/>
                <w:bCs/>
              </w:rPr>
              <w:t>)</w:t>
            </w:r>
          </w:p>
        </w:tc>
      </w:tr>
      <w:tr w:rsidR="00757A4E" w:rsidTr="00757A4E">
        <w:trPr>
          <w:trHeight w:hRule="exact" w:val="680"/>
        </w:trPr>
        <w:tc>
          <w:tcPr>
            <w:tcW w:w="1951" w:type="dxa"/>
            <w:shd w:val="clear" w:color="auto" w:fill="BFBFBF" w:themeFill="background1" w:themeFillShade="BF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757A4E" w:rsidRDefault="00757A4E" w:rsidP="00B42460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15:30 – 15:45</w:t>
            </w:r>
          </w:p>
          <w:p w:rsidR="00757A4E" w:rsidRPr="00757A4E" w:rsidRDefault="00757A4E" w:rsidP="00B424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25" w:type="dxa"/>
            <w:shd w:val="clear" w:color="auto" w:fill="BFBFBF" w:themeFill="background1" w:themeFillShade="BF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757A4E" w:rsidRPr="00757A4E" w:rsidRDefault="00757A4E" w:rsidP="00B42460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Coffee break</w:t>
            </w:r>
          </w:p>
        </w:tc>
      </w:tr>
      <w:tr w:rsidR="00757A4E" w:rsidTr="00757A4E">
        <w:trPr>
          <w:trHeight w:hRule="exact" w:val="680"/>
        </w:trPr>
        <w:tc>
          <w:tcPr>
            <w:tcW w:w="1951" w:type="dxa"/>
            <w:shd w:val="clear" w:color="auto" w:fill="F2F2F2" w:themeFill="background1" w:themeFillShade="F2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757A4E" w:rsidRDefault="00757A4E" w:rsidP="00B42460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15:45 – 17:00</w:t>
            </w:r>
          </w:p>
        </w:tc>
        <w:tc>
          <w:tcPr>
            <w:tcW w:w="7625" w:type="dxa"/>
            <w:shd w:val="clear" w:color="auto" w:fill="F2F2F2" w:themeFill="background1" w:themeFillShade="F2"/>
          </w:tcPr>
          <w:p w:rsidR="00757A4E" w:rsidRDefault="00757A4E" w:rsidP="00B42460">
            <w:pPr>
              <w:rPr>
                <w:rFonts w:ascii="Arial" w:hAnsi="Arial" w:cs="Arial"/>
                <w:bCs/>
              </w:rPr>
            </w:pPr>
          </w:p>
          <w:p w:rsidR="00757A4E" w:rsidRDefault="00757A4E" w:rsidP="00B42460">
            <w:pPr>
              <w:rPr>
                <w:rFonts w:ascii="Arial" w:hAnsi="Arial" w:cs="Arial"/>
                <w:bCs/>
              </w:rPr>
            </w:pPr>
            <w:r w:rsidRPr="00757A4E">
              <w:rPr>
                <w:rFonts w:ascii="Arial" w:hAnsi="Arial" w:cs="Arial"/>
                <w:bCs/>
              </w:rPr>
              <w:t>Workshop no. 2 - continuation</w:t>
            </w:r>
          </w:p>
        </w:tc>
      </w:tr>
    </w:tbl>
    <w:p w:rsidR="00B42460" w:rsidRDefault="00B42460" w:rsidP="00B42460">
      <w:pPr>
        <w:rPr>
          <w:rFonts w:ascii="Palatino Linotype" w:hAnsi="Palatino Linotype"/>
          <w:sz w:val="28"/>
          <w:szCs w:val="28"/>
        </w:rPr>
      </w:pPr>
    </w:p>
    <w:p w:rsidR="0098456D" w:rsidRDefault="0098456D" w:rsidP="00B42460">
      <w:pPr>
        <w:rPr>
          <w:rFonts w:ascii="Palatino Linotype" w:hAnsi="Palatino Linotype"/>
          <w:sz w:val="28"/>
          <w:szCs w:val="28"/>
        </w:rPr>
      </w:pPr>
    </w:p>
    <w:p w:rsidR="00B42460" w:rsidRPr="001A2C0F" w:rsidRDefault="00B7032C" w:rsidP="00B4246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Day 3</w:t>
      </w:r>
    </w:p>
    <w:tbl>
      <w:tblPr>
        <w:tblW w:w="964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B42460" w:rsidRPr="0024105E" w:rsidTr="003F0554">
        <w:trPr>
          <w:trHeight w:val="851"/>
        </w:trPr>
        <w:tc>
          <w:tcPr>
            <w:tcW w:w="1908" w:type="dxa"/>
            <w:tcBorders>
              <w:top w:val="nil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B42460" w:rsidRPr="0024105E" w:rsidRDefault="00FF16EB" w:rsidP="003F055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9:30 – 10</w:t>
            </w:r>
            <w:r w:rsidR="0024105E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7740" w:type="dxa"/>
            <w:tcBorders>
              <w:left w:val="nil"/>
            </w:tcBorders>
            <w:shd w:val="pct20" w:color="000000" w:fill="FFFFFF"/>
            <w:vAlign w:val="center"/>
          </w:tcPr>
          <w:p w:rsidR="00B42460" w:rsidRPr="0024105E" w:rsidRDefault="00B7032C" w:rsidP="003F055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Feed-back from the workshops</w:t>
            </w:r>
          </w:p>
        </w:tc>
      </w:tr>
      <w:tr w:rsidR="00B42460" w:rsidRPr="00DD13D0" w:rsidTr="003F0554">
        <w:trPr>
          <w:trHeight w:val="851"/>
        </w:trPr>
        <w:tc>
          <w:tcPr>
            <w:tcW w:w="1908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B42460" w:rsidRPr="00DD13D0" w:rsidRDefault="00FF16EB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</w:t>
            </w:r>
            <w:r w:rsidR="00B42460" w:rsidRPr="00DD13D0">
              <w:rPr>
                <w:rFonts w:ascii="Arial" w:hAnsi="Arial" w:cs="Arial"/>
              </w:rPr>
              <w:t>0</w:t>
            </w:r>
            <w:r w:rsidR="0024105E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0:45</w:t>
            </w:r>
          </w:p>
        </w:tc>
        <w:tc>
          <w:tcPr>
            <w:tcW w:w="7740" w:type="dxa"/>
            <w:tcBorders>
              <w:left w:val="nil"/>
            </w:tcBorders>
            <w:shd w:val="pct5" w:color="000000" w:fill="FFFFF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 xml:space="preserve">Coffee break </w:t>
            </w:r>
          </w:p>
        </w:tc>
      </w:tr>
      <w:tr w:rsidR="00B42460" w:rsidRPr="00DD13D0" w:rsidTr="003F0554">
        <w:trPr>
          <w:trHeight w:val="851"/>
        </w:trPr>
        <w:tc>
          <w:tcPr>
            <w:tcW w:w="1908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B42460" w:rsidRPr="00DD13D0" w:rsidRDefault="00FF16EB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</w:t>
            </w:r>
            <w:r w:rsidR="00B42460">
              <w:rPr>
                <w:rFonts w:ascii="Arial" w:hAnsi="Arial" w:cs="Arial"/>
              </w:rPr>
              <w:t>5 – 12: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7740" w:type="dxa"/>
            <w:tcBorders>
              <w:left w:val="nil"/>
            </w:tcBorders>
            <w:shd w:val="pct20" w:color="000000" w:fill="FFFFFF"/>
            <w:vAlign w:val="center"/>
          </w:tcPr>
          <w:p w:rsidR="00B7032C" w:rsidRPr="00B7032C" w:rsidRDefault="00B7032C" w:rsidP="00B7032C">
            <w:pPr>
              <w:rPr>
                <w:rFonts w:ascii="Arial" w:hAnsi="Arial" w:cs="Arial"/>
              </w:rPr>
            </w:pPr>
            <w:r w:rsidRPr="00B7032C">
              <w:rPr>
                <w:rFonts w:ascii="Arial" w:hAnsi="Arial" w:cs="Arial"/>
              </w:rPr>
              <w:t>Linguistic training</w:t>
            </w:r>
          </w:p>
          <w:p w:rsidR="00B42460" w:rsidRPr="00DD13D0" w:rsidRDefault="00B7032C" w:rsidP="00B7032C">
            <w:pPr>
              <w:rPr>
                <w:rFonts w:ascii="Arial" w:hAnsi="Arial" w:cs="Arial"/>
              </w:rPr>
            </w:pPr>
            <w:r w:rsidRPr="00B7032C">
              <w:rPr>
                <w:rFonts w:ascii="Arial" w:hAnsi="Arial" w:cs="Arial"/>
              </w:rPr>
              <w:t>Mrs. Roxana Constantinescu</w:t>
            </w:r>
          </w:p>
        </w:tc>
      </w:tr>
      <w:tr w:rsidR="00B42460" w:rsidRPr="00DD13D0" w:rsidTr="003F0554">
        <w:trPr>
          <w:trHeight w:val="851"/>
        </w:trPr>
        <w:tc>
          <w:tcPr>
            <w:tcW w:w="1908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B42460" w:rsidRPr="00DD13D0" w:rsidRDefault="00FF16EB" w:rsidP="003F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– 13:3</w:t>
            </w:r>
            <w:r w:rsidR="00B42460">
              <w:rPr>
                <w:rFonts w:ascii="Arial" w:hAnsi="Arial" w:cs="Arial"/>
              </w:rPr>
              <w:t>0</w:t>
            </w:r>
          </w:p>
        </w:tc>
        <w:tc>
          <w:tcPr>
            <w:tcW w:w="7740" w:type="dxa"/>
            <w:tcBorders>
              <w:left w:val="nil"/>
            </w:tcBorders>
            <w:shd w:val="pct5" w:color="000000" w:fill="FFFFFF"/>
            <w:vAlign w:val="center"/>
          </w:tcPr>
          <w:p w:rsidR="00B42460" w:rsidRPr="00DD13D0" w:rsidRDefault="00B42460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>EU rules concerning judicial cooperation in criminal matters; new legal instruments</w:t>
            </w:r>
            <w:r w:rsidR="0024105E">
              <w:rPr>
                <w:rFonts w:ascii="Arial" w:hAnsi="Arial" w:cs="Arial"/>
              </w:rPr>
              <w:t xml:space="preserve"> </w:t>
            </w:r>
          </w:p>
        </w:tc>
      </w:tr>
      <w:tr w:rsidR="00B42460" w:rsidRPr="00DD13D0" w:rsidTr="0024105E">
        <w:trPr>
          <w:trHeight w:val="851"/>
        </w:trPr>
        <w:tc>
          <w:tcPr>
            <w:tcW w:w="1908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BFBFBF"/>
            <w:vAlign w:val="center"/>
          </w:tcPr>
          <w:p w:rsidR="00B42460" w:rsidRPr="00DD13D0" w:rsidRDefault="00FF16EB" w:rsidP="00B70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 3</w:t>
            </w:r>
            <w:r w:rsidR="00B42460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4:3</w:t>
            </w:r>
            <w:r w:rsidR="00B42460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7740" w:type="dxa"/>
            <w:tcBorders>
              <w:left w:val="nil"/>
            </w:tcBorders>
            <w:shd w:val="clear" w:color="auto" w:fill="BFBFBF"/>
            <w:vAlign w:val="center"/>
          </w:tcPr>
          <w:p w:rsidR="00B42460" w:rsidRPr="00DD13D0" w:rsidRDefault="00B7032C" w:rsidP="003F0554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>Lunch</w:t>
            </w:r>
          </w:p>
        </w:tc>
      </w:tr>
      <w:tr w:rsidR="00B42460" w:rsidRPr="00DD13D0" w:rsidTr="003F0554">
        <w:trPr>
          <w:trHeight w:val="851"/>
        </w:trPr>
        <w:tc>
          <w:tcPr>
            <w:tcW w:w="1908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B42460" w:rsidRPr="00DD13D0" w:rsidRDefault="00FF16EB" w:rsidP="00FF1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</w:t>
            </w:r>
            <w:r w:rsidR="00B42460" w:rsidRPr="00DD13D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15:3</w:t>
            </w:r>
            <w:r w:rsidR="00B7032C">
              <w:rPr>
                <w:rFonts w:ascii="Arial" w:hAnsi="Arial" w:cs="Arial"/>
              </w:rPr>
              <w:t>0</w:t>
            </w:r>
          </w:p>
        </w:tc>
        <w:tc>
          <w:tcPr>
            <w:tcW w:w="7740" w:type="dxa"/>
            <w:tcBorders>
              <w:left w:val="nil"/>
            </w:tcBorders>
            <w:shd w:val="pct5" w:color="000000" w:fill="FFFFFF"/>
            <w:vAlign w:val="center"/>
          </w:tcPr>
          <w:p w:rsidR="00B42460" w:rsidRPr="00DD13D0" w:rsidRDefault="00B7032C" w:rsidP="00B7032C">
            <w:pPr>
              <w:rPr>
                <w:rFonts w:ascii="Arial" w:hAnsi="Arial" w:cs="Arial"/>
              </w:rPr>
            </w:pPr>
            <w:r w:rsidRPr="00DD13D0">
              <w:rPr>
                <w:rFonts w:ascii="Arial" w:hAnsi="Arial" w:cs="Arial"/>
              </w:rPr>
              <w:t xml:space="preserve">Conclusions </w:t>
            </w:r>
          </w:p>
        </w:tc>
      </w:tr>
    </w:tbl>
    <w:p w:rsidR="00B42460" w:rsidRDefault="00B42460" w:rsidP="00B42460">
      <w:pPr>
        <w:rPr>
          <w:rFonts w:ascii="Arial" w:hAnsi="Arial" w:cs="Arial"/>
          <w:sz w:val="32"/>
          <w:szCs w:val="28"/>
        </w:rPr>
      </w:pPr>
    </w:p>
    <w:p w:rsidR="00B42460" w:rsidRPr="00EC0311" w:rsidRDefault="00B42460" w:rsidP="00B42460">
      <w:pPr>
        <w:rPr>
          <w:rFonts w:ascii="Arial" w:hAnsi="Arial" w:cs="Arial"/>
          <w:sz w:val="32"/>
          <w:szCs w:val="28"/>
        </w:rPr>
      </w:pPr>
    </w:p>
    <w:p w:rsidR="00B42460" w:rsidRPr="00822AC5" w:rsidRDefault="00B42460" w:rsidP="00B42460"/>
    <w:p w:rsidR="00BE507D" w:rsidRDefault="00BE507D"/>
    <w:sectPr w:rsidR="00BE507D" w:rsidSect="00C25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38" w:right="1440" w:bottom="1440" w:left="144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E6" w:rsidRDefault="005312E6" w:rsidP="00373FAD">
      <w:pPr>
        <w:spacing w:after="0" w:line="240" w:lineRule="auto"/>
      </w:pPr>
      <w:r>
        <w:separator/>
      </w:r>
    </w:p>
  </w:endnote>
  <w:endnote w:type="continuationSeparator" w:id="0">
    <w:p w:rsidR="005312E6" w:rsidRDefault="005312E6" w:rsidP="0037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63" w:rsidRDefault="00617C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jc w:val="right"/>
      <w:tblInd w:w="2075" w:type="dxa"/>
      <w:tblLook w:val="04A0" w:firstRow="1" w:lastRow="0" w:firstColumn="1" w:lastColumn="0" w:noHBand="0" w:noVBand="1"/>
    </w:tblPr>
    <w:tblGrid>
      <w:gridCol w:w="1806"/>
      <w:gridCol w:w="1266"/>
      <w:gridCol w:w="1446"/>
      <w:gridCol w:w="1335"/>
      <w:gridCol w:w="1215"/>
      <w:gridCol w:w="1275"/>
      <w:gridCol w:w="1411"/>
    </w:tblGrid>
    <w:tr w:rsidR="0003777D" w:rsidTr="0003777D">
      <w:trPr>
        <w:trHeight w:val="1134"/>
        <w:jc w:val="right"/>
      </w:trPr>
      <w:tc>
        <w:tcPr>
          <w:tcW w:w="1623" w:type="dxa"/>
          <w:shd w:val="clear" w:color="auto" w:fill="auto"/>
        </w:tcPr>
        <w:p w:rsidR="00F53875" w:rsidRPr="006027CB" w:rsidRDefault="00617C60" w:rsidP="00F50575">
          <w:pPr>
            <w:pStyle w:val="Nagwek"/>
            <w:jc w:val="center"/>
            <w:rPr>
              <w:b/>
              <w:color w:val="000000"/>
              <w:lang w:eastAsia="fr-FR"/>
            </w:rPr>
          </w:pPr>
          <w:r>
            <w:rPr>
              <w:b/>
              <w:noProof/>
              <w:color w:val="000000"/>
              <w:lang w:val="pl-PL" w:eastAsia="pl-PL"/>
            </w:rPr>
            <w:drawing>
              <wp:inline distT="0" distB="0" distL="0" distR="0">
                <wp:extent cx="1009650" cy="752475"/>
                <wp:effectExtent l="0" t="0" r="0" b="9525"/>
                <wp:docPr id="4" name="Obraz 4" descr="Sigla I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igla I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6" w:type="dxa"/>
          <w:shd w:val="clear" w:color="auto" w:fill="auto"/>
          <w:vAlign w:val="center"/>
        </w:tcPr>
        <w:p w:rsidR="00F53875" w:rsidRPr="006027CB" w:rsidRDefault="00617C60" w:rsidP="0003777D">
          <w:pPr>
            <w:pStyle w:val="Nagwek"/>
            <w:jc w:val="center"/>
            <w:rPr>
              <w:b/>
              <w:color w:val="000000"/>
              <w:lang w:eastAsia="fr-FR"/>
            </w:rPr>
          </w:pPr>
          <w:r>
            <w:rPr>
              <w:b/>
              <w:noProof/>
              <w:color w:val="000000"/>
              <w:lang w:val="pl-PL" w:eastAsia="pl-PL"/>
            </w:rPr>
            <w:drawing>
              <wp:inline distT="0" distB="0" distL="0" distR="0">
                <wp:extent cx="666750" cy="714375"/>
                <wp:effectExtent l="0" t="0" r="0" b="9525"/>
                <wp:docPr id="5" name="Obraz 5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7" w:type="dxa"/>
          <w:shd w:val="clear" w:color="auto" w:fill="auto"/>
          <w:vAlign w:val="center"/>
        </w:tcPr>
        <w:p w:rsidR="00F53875" w:rsidRPr="006027CB" w:rsidRDefault="002937AE" w:rsidP="00C754B5">
          <w:pPr>
            <w:pStyle w:val="Nagwek"/>
            <w:jc w:val="center"/>
            <w:rPr>
              <w:b/>
              <w:color w:val="000000"/>
              <w:lang w:eastAsia="fr-FR"/>
            </w:rPr>
          </w:pPr>
          <w:r w:rsidRPr="002937AE">
            <w:rPr>
              <w:b/>
              <w:noProof/>
              <w:color w:val="000000"/>
              <w:lang w:val="pl-PL" w:eastAsia="pl-PL"/>
            </w:rPr>
            <w:drawing>
              <wp:inline distT="0" distB="0" distL="0" distR="0">
                <wp:extent cx="752475" cy="798382"/>
                <wp:effectExtent l="19050" t="0" r="9525" b="0"/>
                <wp:docPr id="3" name="Picture 1" descr="C:\Users\diana.ilica\AppData\Local\Microsoft\Windows\Temporary Internet Files\Content.Outlook\25USXJYQ\Logo_JA_cz_verze_RGB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diana.ilica\AppData\Local\Microsoft\Windows\Temporary Internet Files\Content.Outlook\25USXJYQ\Logo_JA_cz_verze_RGB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8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4" w:type="dxa"/>
          <w:shd w:val="clear" w:color="auto" w:fill="auto"/>
          <w:vAlign w:val="center"/>
        </w:tcPr>
        <w:p w:rsidR="00F53875" w:rsidRPr="006027CB" w:rsidRDefault="00617C60" w:rsidP="0003777D">
          <w:pPr>
            <w:pStyle w:val="Nagwek"/>
            <w:ind w:right="-51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eastAsia="fr-FR"/>
            </w:rPr>
          </w:pPr>
          <w:r>
            <w:rPr>
              <w:b/>
              <w:noProof/>
              <w:color w:val="000000"/>
              <w:sz w:val="24"/>
              <w:szCs w:val="24"/>
              <w:lang w:val="pl-PL" w:eastAsia="pl-PL"/>
            </w:rPr>
            <w:drawing>
              <wp:inline distT="0" distB="0" distL="0" distR="0">
                <wp:extent cx="742950" cy="533400"/>
                <wp:effectExtent l="0" t="0" r="0" b="0"/>
                <wp:docPr id="6" name="Obraz 6" descr="NI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I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1" w:type="dxa"/>
          <w:shd w:val="clear" w:color="auto" w:fill="auto"/>
          <w:vAlign w:val="center"/>
        </w:tcPr>
        <w:p w:rsidR="00F53875" w:rsidRPr="006027CB" w:rsidRDefault="00617C60" w:rsidP="0003777D">
          <w:pPr>
            <w:pStyle w:val="Nagwek"/>
            <w:ind w:right="-51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eastAsia="fr-FR"/>
            </w:rPr>
          </w:pPr>
          <w:r>
            <w:rPr>
              <w:rFonts w:ascii="Arial" w:hAnsi="Arial" w:cs="Arial"/>
              <w:b/>
              <w:noProof/>
              <w:color w:val="000000"/>
              <w:sz w:val="24"/>
              <w:szCs w:val="24"/>
              <w:lang w:val="pl-PL" w:eastAsia="pl-PL"/>
            </w:rPr>
            <w:drawing>
              <wp:inline distT="0" distB="0" distL="0" distR="0">
                <wp:extent cx="657225" cy="600075"/>
                <wp:effectExtent l="0" t="0" r="9525" b="9525"/>
                <wp:docPr id="7" name="Obraz 7" descr="m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  <w:shd w:val="clear" w:color="auto" w:fill="auto"/>
          <w:vAlign w:val="center"/>
        </w:tcPr>
        <w:p w:rsidR="00F53875" w:rsidRPr="006027CB" w:rsidRDefault="00617C60" w:rsidP="0003777D">
          <w:pPr>
            <w:pStyle w:val="Nagwek"/>
            <w:ind w:right="-51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eastAsia="fr-FR"/>
            </w:rPr>
          </w:pPr>
          <w:r>
            <w:rPr>
              <w:b/>
              <w:noProof/>
              <w:color w:val="000000"/>
              <w:lang w:val="pl-PL" w:eastAsia="pl-PL"/>
            </w:rPr>
            <w:drawing>
              <wp:inline distT="0" distB="0" distL="0" distR="0">
                <wp:extent cx="695325" cy="714375"/>
                <wp:effectExtent l="0" t="0" r="9525" b="9525"/>
                <wp:docPr id="8" name="Obraz 8" descr="402b5478f33fb4f5aeb35431e652be0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402b5478f33fb4f5aeb35431e652be0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7" w:type="dxa"/>
          <w:shd w:val="clear" w:color="auto" w:fill="auto"/>
          <w:vAlign w:val="center"/>
        </w:tcPr>
        <w:p w:rsidR="00F53875" w:rsidRPr="006027CB" w:rsidRDefault="00617C60" w:rsidP="0003777D">
          <w:pPr>
            <w:pStyle w:val="SubTitle2"/>
            <w:ind w:left="-65"/>
            <w:rPr>
              <w:rFonts w:ascii="Arial" w:hAnsi="Arial" w:cs="Arial"/>
              <w:b w:val="0"/>
              <w:color w:val="000000"/>
              <w:sz w:val="28"/>
              <w:szCs w:val="28"/>
              <w:lang w:eastAsia="fr-FR"/>
            </w:rPr>
          </w:pPr>
          <w:r>
            <w:rPr>
              <w:rFonts w:ascii="Arial" w:hAnsi="Arial" w:cs="Arial"/>
              <w:b w:val="0"/>
              <w:noProof/>
              <w:color w:val="000000"/>
              <w:sz w:val="28"/>
              <w:szCs w:val="28"/>
              <w:lang w:val="pl-PL" w:eastAsia="pl-PL"/>
            </w:rPr>
            <w:drawing>
              <wp:inline distT="0" distB="0" distL="0" distR="0">
                <wp:extent cx="790575" cy="676275"/>
                <wp:effectExtent l="0" t="0" r="9525" b="9525"/>
                <wp:docPr id="9" name="Obraz 9" descr="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6BB5" w:rsidRDefault="0024105E" w:rsidP="00366BB5">
    <w:pPr>
      <w:pStyle w:val="Stopka"/>
    </w:pPr>
    <w:r>
      <w:tab/>
    </w:r>
    <w:r>
      <w:tab/>
    </w:r>
  </w:p>
  <w:p w:rsidR="00366BB5" w:rsidRDefault="00617C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63" w:rsidRDefault="00617C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E6" w:rsidRDefault="005312E6" w:rsidP="00373FAD">
      <w:pPr>
        <w:spacing w:after="0" w:line="240" w:lineRule="auto"/>
      </w:pPr>
      <w:r>
        <w:separator/>
      </w:r>
    </w:p>
  </w:footnote>
  <w:footnote w:type="continuationSeparator" w:id="0">
    <w:p w:rsidR="005312E6" w:rsidRDefault="005312E6" w:rsidP="0037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63" w:rsidRDefault="00617C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right"/>
      <w:tblInd w:w="837" w:type="dxa"/>
      <w:tblLook w:val="04A0" w:firstRow="1" w:lastRow="0" w:firstColumn="1" w:lastColumn="0" w:noHBand="0" w:noVBand="1"/>
    </w:tblPr>
    <w:tblGrid>
      <w:gridCol w:w="3225"/>
      <w:gridCol w:w="4250"/>
      <w:gridCol w:w="2101"/>
    </w:tblGrid>
    <w:tr w:rsidR="002C7D82" w:rsidTr="0003777D">
      <w:trPr>
        <w:trHeight w:val="1565"/>
        <w:jc w:val="right"/>
      </w:trPr>
      <w:tc>
        <w:tcPr>
          <w:tcW w:w="3227" w:type="dxa"/>
          <w:shd w:val="clear" w:color="auto" w:fill="auto"/>
        </w:tcPr>
        <w:p w:rsidR="000E6866" w:rsidRPr="006027CB" w:rsidRDefault="00617C60" w:rsidP="0003777D">
          <w:pPr>
            <w:pStyle w:val="Nagwek"/>
            <w:rPr>
              <w:b/>
              <w:color w:val="000000"/>
              <w:lang w:eastAsia="fr-FR"/>
            </w:rPr>
          </w:pPr>
          <w:r>
            <w:rPr>
              <w:b/>
              <w:noProof/>
              <w:color w:val="000000"/>
              <w:lang w:val="pl-PL" w:eastAsia="pl-PL"/>
            </w:rPr>
            <w:drawing>
              <wp:inline distT="0" distB="0" distL="0" distR="0">
                <wp:extent cx="1285875" cy="990600"/>
                <wp:effectExtent l="0" t="0" r="9525" b="0"/>
                <wp:docPr id="1" name="Obraz 1" descr="SiglaCS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CS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shd w:val="clear" w:color="auto" w:fill="auto"/>
          <w:vAlign w:val="center"/>
        </w:tcPr>
        <w:p w:rsidR="00381C8E" w:rsidRPr="004854E0" w:rsidRDefault="0024105E" w:rsidP="006027CB">
          <w:pPr>
            <w:pStyle w:val="Nagwek"/>
            <w:ind w:right="-51"/>
            <w:jc w:val="right"/>
            <w:rPr>
              <w:rFonts w:cs="Arial"/>
              <w:color w:val="000000"/>
              <w:lang w:eastAsia="fr-FR"/>
            </w:rPr>
          </w:pPr>
          <w:r w:rsidRPr="004854E0">
            <w:rPr>
              <w:rFonts w:cs="Arial"/>
              <w:color w:val="000000"/>
              <w:lang w:eastAsia="fr-FR"/>
            </w:rPr>
            <w:t xml:space="preserve">With financial support from the </w:t>
          </w:r>
        </w:p>
        <w:p w:rsidR="00381C8E" w:rsidRPr="004854E0" w:rsidRDefault="0024105E" w:rsidP="006027CB">
          <w:pPr>
            <w:pStyle w:val="Nagwek"/>
            <w:ind w:right="-51"/>
            <w:jc w:val="right"/>
            <w:rPr>
              <w:rFonts w:cs="Arial"/>
              <w:color w:val="000000"/>
              <w:lang w:eastAsia="fr-FR"/>
            </w:rPr>
          </w:pPr>
          <w:r w:rsidRPr="004854E0">
            <w:rPr>
              <w:rFonts w:cs="Arial"/>
              <w:color w:val="000000"/>
              <w:lang w:eastAsia="fr-FR"/>
            </w:rPr>
            <w:t xml:space="preserve">Specific Programme </w:t>
          </w:r>
          <w:r>
            <w:rPr>
              <w:rFonts w:cs="Arial"/>
              <w:color w:val="000000"/>
              <w:lang w:eastAsia="fr-FR"/>
            </w:rPr>
            <w:t>Criminal</w:t>
          </w:r>
          <w:r w:rsidRPr="004854E0">
            <w:rPr>
              <w:rFonts w:cs="Arial"/>
              <w:color w:val="000000"/>
              <w:lang w:eastAsia="fr-FR"/>
            </w:rPr>
            <w:t xml:space="preserve"> Justice </w:t>
          </w:r>
        </w:p>
        <w:p w:rsidR="000E6866" w:rsidRPr="006027CB" w:rsidRDefault="0024105E" w:rsidP="006027CB">
          <w:pPr>
            <w:pStyle w:val="Nagwek"/>
            <w:ind w:right="-51"/>
            <w:jc w:val="right"/>
            <w:rPr>
              <w:rFonts w:ascii="Arial" w:hAnsi="Arial" w:cs="Arial"/>
              <w:b/>
              <w:color w:val="000000"/>
              <w:sz w:val="24"/>
              <w:szCs w:val="24"/>
              <w:lang w:eastAsia="fr-FR"/>
            </w:rPr>
          </w:pPr>
          <w:r w:rsidRPr="004854E0">
            <w:rPr>
              <w:rFonts w:cs="Arial"/>
              <w:color w:val="000000"/>
              <w:lang w:eastAsia="fr-FR"/>
            </w:rPr>
            <w:t>of the European Union</w:t>
          </w:r>
          <w:r w:rsidRPr="006027CB">
            <w:rPr>
              <w:b/>
              <w:color w:val="000000"/>
              <w:sz w:val="24"/>
              <w:szCs w:val="24"/>
              <w:lang w:eastAsia="fr-FR"/>
            </w:rPr>
            <w:t xml:space="preserve"> </w:t>
          </w:r>
        </w:p>
      </w:tc>
      <w:tc>
        <w:tcPr>
          <w:tcW w:w="2092" w:type="dxa"/>
          <w:shd w:val="clear" w:color="auto" w:fill="auto"/>
        </w:tcPr>
        <w:p w:rsidR="000E6866" w:rsidRPr="006027CB" w:rsidRDefault="00617C60" w:rsidP="006027CB">
          <w:pPr>
            <w:pStyle w:val="SubTitle2"/>
            <w:ind w:left="-65"/>
            <w:jc w:val="right"/>
            <w:rPr>
              <w:rFonts w:ascii="Arial" w:hAnsi="Arial" w:cs="Arial"/>
              <w:b w:val="0"/>
              <w:color w:val="000000"/>
              <w:sz w:val="28"/>
              <w:szCs w:val="28"/>
              <w:lang w:eastAsia="fr-FR"/>
            </w:rPr>
          </w:pPr>
          <w:r>
            <w:rPr>
              <w:b w:val="0"/>
              <w:noProof/>
              <w:color w:val="000000"/>
              <w:lang w:val="pl-PL" w:eastAsia="pl-PL"/>
            </w:rPr>
            <w:drawing>
              <wp:inline distT="0" distB="0" distL="0" distR="0">
                <wp:extent cx="1228725" cy="828675"/>
                <wp:effectExtent l="0" t="0" r="9525" b="9525"/>
                <wp:docPr id="2" name="Obraz 2" descr="ja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a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6BB5" w:rsidRDefault="00617C60" w:rsidP="000E6866">
    <w:pPr>
      <w:pStyle w:val="Nagwek"/>
      <w:jc w:val="center"/>
    </w:pPr>
    <w:r>
      <w:pict>
        <v:rect id="_x0000_i1027" style="width:468pt;height:1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63" w:rsidRDefault="00617C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337"/>
    <w:multiLevelType w:val="hybridMultilevel"/>
    <w:tmpl w:val="94EA78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60"/>
    <w:rsid w:val="001A7649"/>
    <w:rsid w:val="0024105E"/>
    <w:rsid w:val="00282999"/>
    <w:rsid w:val="002937AE"/>
    <w:rsid w:val="00331438"/>
    <w:rsid w:val="00373FAD"/>
    <w:rsid w:val="003C16F2"/>
    <w:rsid w:val="005312E6"/>
    <w:rsid w:val="00617C60"/>
    <w:rsid w:val="00757A4E"/>
    <w:rsid w:val="00890259"/>
    <w:rsid w:val="008D115A"/>
    <w:rsid w:val="0098456D"/>
    <w:rsid w:val="00A1498A"/>
    <w:rsid w:val="00B42460"/>
    <w:rsid w:val="00B60845"/>
    <w:rsid w:val="00B7032C"/>
    <w:rsid w:val="00B851C7"/>
    <w:rsid w:val="00BE507D"/>
    <w:rsid w:val="00D573C1"/>
    <w:rsid w:val="00E17FE9"/>
    <w:rsid w:val="00E20735"/>
    <w:rsid w:val="00EF6B71"/>
    <w:rsid w:val="00FD20FC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460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Title2">
    <w:name w:val="SubTitle 2"/>
    <w:basedOn w:val="Normalny"/>
    <w:rsid w:val="00B42460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styleId="Nagwek">
    <w:name w:val="header"/>
    <w:basedOn w:val="Normalny"/>
    <w:link w:val="NagwekZnak"/>
    <w:unhideWhenUsed/>
    <w:rsid w:val="00B4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2460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nhideWhenUsed/>
    <w:rsid w:val="00B4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42460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AE"/>
    <w:rPr>
      <w:rFonts w:ascii="Tahoma" w:eastAsia="Calibri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B7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A76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460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Title2">
    <w:name w:val="SubTitle 2"/>
    <w:basedOn w:val="Normalny"/>
    <w:rsid w:val="00B42460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styleId="Nagwek">
    <w:name w:val="header"/>
    <w:basedOn w:val="Normalny"/>
    <w:link w:val="NagwekZnak"/>
    <w:unhideWhenUsed/>
    <w:rsid w:val="00B4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2460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nhideWhenUsed/>
    <w:rsid w:val="00B4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42460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AE"/>
    <w:rPr>
      <w:rFonts w:ascii="Tahoma" w:eastAsia="Calibri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B7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A76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jn-crimjust.europa.eu/ejn/libcategories.aspx?Id=11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jn-crimjust.europa.eu/ejn/libcategories.aspx?Id=11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jn-crimjust.europa.eu/ejn/libcategories.aspx?Id=96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2B555-18B4-4D64-9852-FEC81159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1923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diana.ilica</dc:creator>
  <cp:lastModifiedBy>Anna Michrowska</cp:lastModifiedBy>
  <cp:revision>2</cp:revision>
  <cp:lastPrinted>2014-07-08T09:13:00Z</cp:lastPrinted>
  <dcterms:created xsi:type="dcterms:W3CDTF">2014-07-21T11:30:00Z</dcterms:created>
  <dcterms:modified xsi:type="dcterms:W3CDTF">2014-07-21T11:30:00Z</dcterms:modified>
</cp:coreProperties>
</file>