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A20C6" w14:textId="45A33623" w:rsidR="004B069F" w:rsidRDefault="00585F1C" w:rsidP="004B069F">
      <w:pPr>
        <w:spacing w:line="360" w:lineRule="auto"/>
      </w:pPr>
      <w:bookmarkStart w:id="0" w:name="_Hlk83191085"/>
      <w:r>
        <w:t>Kamil Ryś</w:t>
      </w:r>
    </w:p>
    <w:p w14:paraId="59360F8F" w14:textId="5AA249FC" w:rsidR="00ED1838" w:rsidRDefault="00ED1838" w:rsidP="004B069F">
      <w:pPr>
        <w:spacing w:line="360" w:lineRule="auto"/>
      </w:pPr>
      <w:r>
        <w:t>Główny specjalista</w:t>
      </w:r>
    </w:p>
    <w:p w14:paraId="1EFD2576" w14:textId="010826EF" w:rsidR="00ED1838" w:rsidRDefault="00ED1838" w:rsidP="004B069F">
      <w:pPr>
        <w:spacing w:line="360" w:lineRule="auto"/>
      </w:pPr>
      <w:r>
        <w:t>Dział Badań i Analiz</w:t>
      </w:r>
      <w:bookmarkStart w:id="1" w:name="_GoBack"/>
      <w:bookmarkEnd w:id="1"/>
    </w:p>
    <w:p w14:paraId="46281A74" w14:textId="11287C52" w:rsidR="004B069F" w:rsidRDefault="004B069F" w:rsidP="004B069F">
      <w:pPr>
        <w:spacing w:line="360" w:lineRule="auto"/>
      </w:pPr>
      <w:r>
        <w:t xml:space="preserve">Krajowa Szkoła Sądownictwa i Prokuratury </w:t>
      </w:r>
    </w:p>
    <w:p w14:paraId="0B8BBBC5" w14:textId="418E74ED" w:rsidR="004B069F" w:rsidRDefault="004B069F" w:rsidP="004B069F">
      <w:pPr>
        <w:spacing w:line="360" w:lineRule="auto"/>
      </w:pPr>
    </w:p>
    <w:p w14:paraId="0FAAE76A" w14:textId="16A207E7" w:rsidR="004B069F" w:rsidRPr="004B069F" w:rsidRDefault="004B069F" w:rsidP="004B069F">
      <w:pPr>
        <w:spacing w:line="360" w:lineRule="auto"/>
        <w:rPr>
          <w:sz w:val="28"/>
          <w:szCs w:val="28"/>
        </w:rPr>
      </w:pPr>
    </w:p>
    <w:p w14:paraId="3806888E" w14:textId="342F24FE" w:rsidR="004B069F" w:rsidRPr="00585F1C" w:rsidRDefault="004B069F" w:rsidP="004B069F">
      <w:pPr>
        <w:spacing w:line="360" w:lineRule="auto"/>
        <w:jc w:val="center"/>
        <w:rPr>
          <w:b/>
          <w:bCs/>
          <w:sz w:val="28"/>
          <w:szCs w:val="28"/>
        </w:rPr>
      </w:pPr>
      <w:r w:rsidRPr="00585F1C">
        <w:rPr>
          <w:b/>
          <w:bCs/>
          <w:sz w:val="28"/>
          <w:szCs w:val="28"/>
        </w:rPr>
        <w:t xml:space="preserve">Sprawozdanie z </w:t>
      </w:r>
      <w:r w:rsidR="00F937AE" w:rsidRPr="00585F1C">
        <w:rPr>
          <w:b/>
          <w:bCs/>
          <w:sz w:val="28"/>
          <w:szCs w:val="28"/>
        </w:rPr>
        <w:t>Konferencj</w:t>
      </w:r>
      <w:r w:rsidRPr="00585F1C">
        <w:rPr>
          <w:b/>
          <w:bCs/>
          <w:sz w:val="28"/>
          <w:szCs w:val="28"/>
        </w:rPr>
        <w:t>i</w:t>
      </w:r>
      <w:r w:rsidR="00F937AE" w:rsidRPr="00585F1C">
        <w:rPr>
          <w:b/>
          <w:bCs/>
          <w:sz w:val="28"/>
          <w:szCs w:val="28"/>
        </w:rPr>
        <w:t xml:space="preserve"> podsumowując</w:t>
      </w:r>
      <w:r w:rsidRPr="00585F1C">
        <w:rPr>
          <w:b/>
          <w:bCs/>
          <w:sz w:val="28"/>
          <w:szCs w:val="28"/>
        </w:rPr>
        <w:t>ej</w:t>
      </w:r>
      <w:r w:rsidR="00F937AE" w:rsidRPr="00585F1C">
        <w:rPr>
          <w:b/>
          <w:bCs/>
          <w:sz w:val="28"/>
          <w:szCs w:val="28"/>
        </w:rPr>
        <w:t xml:space="preserve"> projekt badawczy</w:t>
      </w:r>
    </w:p>
    <w:p w14:paraId="76F5E25C" w14:textId="1B0E6C9E" w:rsidR="00F937AE" w:rsidRPr="00585F1C" w:rsidRDefault="00F937AE" w:rsidP="004B069F">
      <w:pPr>
        <w:spacing w:line="360" w:lineRule="auto"/>
        <w:jc w:val="center"/>
        <w:rPr>
          <w:b/>
          <w:bCs/>
          <w:sz w:val="28"/>
          <w:szCs w:val="28"/>
        </w:rPr>
      </w:pPr>
      <w:r w:rsidRPr="00585F1C">
        <w:rPr>
          <w:b/>
          <w:bCs/>
          <w:sz w:val="28"/>
          <w:szCs w:val="28"/>
        </w:rPr>
        <w:t>„</w:t>
      </w:r>
      <w:r w:rsidR="00585F1C" w:rsidRPr="00585F1C">
        <w:rPr>
          <w:b/>
          <w:bCs/>
          <w:sz w:val="28"/>
          <w:szCs w:val="28"/>
        </w:rPr>
        <w:t>Standaryzacja wysokości zadośćuczynień za krzywdę spowodowaną śmiercią osoby najbliższej (art. 446 § 4 k.c.)</w:t>
      </w:r>
      <w:r w:rsidRPr="00585F1C">
        <w:rPr>
          <w:b/>
          <w:bCs/>
          <w:sz w:val="28"/>
          <w:szCs w:val="28"/>
        </w:rPr>
        <w:t>”</w:t>
      </w:r>
    </w:p>
    <w:bookmarkEnd w:id="0"/>
    <w:p w14:paraId="2B6FA703" w14:textId="77777777" w:rsidR="004B069F" w:rsidRPr="00585F1C" w:rsidRDefault="00F937AE" w:rsidP="004B069F">
      <w:pPr>
        <w:spacing w:line="360" w:lineRule="auto"/>
        <w:jc w:val="center"/>
        <w:rPr>
          <w:b/>
          <w:bCs/>
          <w:sz w:val="28"/>
          <w:szCs w:val="28"/>
        </w:rPr>
      </w:pPr>
      <w:r w:rsidRPr="00585F1C">
        <w:rPr>
          <w:b/>
          <w:bCs/>
          <w:sz w:val="28"/>
          <w:szCs w:val="28"/>
        </w:rPr>
        <w:t xml:space="preserve">Krajowa Szkoła Sądownictwa i Prokuratury </w:t>
      </w:r>
    </w:p>
    <w:p w14:paraId="23476685" w14:textId="03090B20" w:rsidR="00823B33" w:rsidRPr="00585F1C" w:rsidRDefault="00F937AE" w:rsidP="004B069F">
      <w:pPr>
        <w:spacing w:line="360" w:lineRule="auto"/>
        <w:jc w:val="center"/>
        <w:rPr>
          <w:sz w:val="28"/>
          <w:szCs w:val="28"/>
        </w:rPr>
      </w:pPr>
      <w:r w:rsidRPr="00585F1C">
        <w:rPr>
          <w:sz w:val="28"/>
          <w:szCs w:val="28"/>
        </w:rPr>
        <w:t>Lublin</w:t>
      </w:r>
      <w:r w:rsidR="00880620">
        <w:rPr>
          <w:sz w:val="28"/>
          <w:szCs w:val="28"/>
        </w:rPr>
        <w:t>,</w:t>
      </w:r>
      <w:r w:rsidRPr="00585F1C">
        <w:rPr>
          <w:sz w:val="28"/>
          <w:szCs w:val="28"/>
        </w:rPr>
        <w:t xml:space="preserve"> </w:t>
      </w:r>
      <w:r w:rsidR="00585F1C" w:rsidRPr="00585F1C">
        <w:rPr>
          <w:sz w:val="28"/>
          <w:szCs w:val="28"/>
        </w:rPr>
        <w:t>16 czerwca</w:t>
      </w:r>
      <w:r w:rsidRPr="00585F1C">
        <w:rPr>
          <w:sz w:val="28"/>
          <w:szCs w:val="28"/>
        </w:rPr>
        <w:t xml:space="preserve"> 202</w:t>
      </w:r>
      <w:r w:rsidR="00585F1C" w:rsidRPr="00585F1C">
        <w:rPr>
          <w:sz w:val="28"/>
          <w:szCs w:val="28"/>
        </w:rPr>
        <w:t>3</w:t>
      </w:r>
      <w:r w:rsidRPr="00585F1C">
        <w:rPr>
          <w:sz w:val="28"/>
          <w:szCs w:val="28"/>
        </w:rPr>
        <w:t xml:space="preserve"> r.</w:t>
      </w:r>
    </w:p>
    <w:p w14:paraId="3CBA8218" w14:textId="5A1D9C4C" w:rsidR="00823B33" w:rsidRPr="00585F1C" w:rsidRDefault="00823B33" w:rsidP="00823B33">
      <w:pPr>
        <w:spacing w:line="360" w:lineRule="auto"/>
        <w:jc w:val="both"/>
        <w:rPr>
          <w:sz w:val="28"/>
          <w:szCs w:val="28"/>
          <w:highlight w:val="yellow"/>
        </w:rPr>
      </w:pPr>
    </w:p>
    <w:p w14:paraId="2DE5213A" w14:textId="11A86F02" w:rsidR="007B680E" w:rsidRPr="003054E9" w:rsidRDefault="00585F1C" w:rsidP="00941CDF">
      <w:pPr>
        <w:spacing w:line="360" w:lineRule="auto"/>
        <w:ind w:firstLine="708"/>
        <w:jc w:val="both"/>
      </w:pPr>
      <w:r w:rsidRPr="00585F1C">
        <w:t>16 czerwca</w:t>
      </w:r>
      <w:r w:rsidR="00F937AE" w:rsidRPr="00585F1C">
        <w:t xml:space="preserve"> 202</w:t>
      </w:r>
      <w:r w:rsidRPr="00585F1C">
        <w:t>3</w:t>
      </w:r>
      <w:r w:rsidR="00F937AE" w:rsidRPr="00585F1C">
        <w:t xml:space="preserve"> r. w Lublinie odbyła się </w:t>
      </w:r>
      <w:r w:rsidR="00880620">
        <w:t>k</w:t>
      </w:r>
      <w:r w:rsidR="00F937AE" w:rsidRPr="00585F1C">
        <w:t>onferencja</w:t>
      </w:r>
      <w:r w:rsidRPr="00585F1C">
        <w:t xml:space="preserve"> „Zadośćuczynienie z tytułu śmierci osoby najbliższej. Aktualne tendencje orzecznicze i próba standaryzacji”,</w:t>
      </w:r>
      <w:r w:rsidR="00F937AE" w:rsidRPr="00585F1C">
        <w:t xml:space="preserve"> podsumowująca projekt badawczy „</w:t>
      </w:r>
      <w:r w:rsidRPr="00585F1C">
        <w:t>Standaryzacja wysokości zadośćuczynień za krzywdę spowodowaną śmiercią osoby najbliższej (art. 446 § 4 k.c.)</w:t>
      </w:r>
      <w:r w:rsidR="00F937AE" w:rsidRPr="00585F1C">
        <w:t>”</w:t>
      </w:r>
      <w:r w:rsidRPr="00585F1C">
        <w:t>,</w:t>
      </w:r>
      <w:r w:rsidR="007B680E" w:rsidRPr="00585F1C">
        <w:t xml:space="preserve"> zorganizowana przez Krajow</w:t>
      </w:r>
      <w:r w:rsidR="006658A3" w:rsidRPr="00585F1C">
        <w:t>ą</w:t>
      </w:r>
      <w:r w:rsidR="007B680E" w:rsidRPr="00585F1C">
        <w:t xml:space="preserve"> Szkoł</w:t>
      </w:r>
      <w:r w:rsidR="006658A3" w:rsidRPr="00585F1C">
        <w:t>ę</w:t>
      </w:r>
      <w:r w:rsidR="007B680E" w:rsidRPr="00585F1C">
        <w:t xml:space="preserve"> Sądownictwa i Prokuratury. Cele</w:t>
      </w:r>
      <w:r w:rsidR="00912B23" w:rsidRPr="00585F1C">
        <w:t>m</w:t>
      </w:r>
      <w:r w:rsidR="007B680E" w:rsidRPr="00585F1C">
        <w:t xml:space="preserve"> konferencji był</w:t>
      </w:r>
      <w:r w:rsidR="003B0C99" w:rsidRPr="00585F1C">
        <w:t>a prezentacja wyników</w:t>
      </w:r>
      <w:r w:rsidR="00880620">
        <w:t xml:space="preserve"> badań</w:t>
      </w:r>
      <w:r w:rsidR="000520AF">
        <w:t xml:space="preserve"> </w:t>
      </w:r>
      <w:r w:rsidR="00D2635D">
        <w:t>przeprowadzonych w ramach projektu</w:t>
      </w:r>
      <w:r w:rsidR="003B0C99" w:rsidRPr="00585F1C">
        <w:t xml:space="preserve">, którego głównym założeniem było </w:t>
      </w:r>
      <w:r w:rsidR="00D2635D" w:rsidRPr="00552F21">
        <w:t xml:space="preserve">opracowanie narzędzia informatycznego, które </w:t>
      </w:r>
      <w:r w:rsidR="00D2635D">
        <w:t xml:space="preserve">- </w:t>
      </w:r>
      <w:r w:rsidR="00D2635D" w:rsidRPr="00D2635D">
        <w:t>po</w:t>
      </w:r>
      <w:r w:rsidR="00D2635D">
        <w:t xml:space="preserve"> wprowadzeniu podstawowych parametrów sprawy – dawałoby informację o wysokości zadośćuczynienia zasądzanego w podobnych przypadkach przez </w:t>
      </w:r>
      <w:r w:rsidR="00D2635D" w:rsidRPr="00D2635D">
        <w:t>sądy</w:t>
      </w:r>
      <w:r w:rsidR="00D2635D" w:rsidRPr="00552F21">
        <w:t>.</w:t>
      </w:r>
      <w:r w:rsidR="003B0C99" w:rsidRPr="00585F1C">
        <w:t xml:space="preserve"> Konferencja była także okazją do wymiany doświad</w:t>
      </w:r>
      <w:r w:rsidR="003B0C99" w:rsidRPr="002D5A8E">
        <w:t xml:space="preserve">czeń i dyskusji w obszarze </w:t>
      </w:r>
      <w:r w:rsidR="002D5A8E" w:rsidRPr="002D5A8E">
        <w:t>istoty instytucji zadośćuczynienia z tytułu śmierci osoby najbliższej</w:t>
      </w:r>
      <w:r w:rsidR="003B0C99" w:rsidRPr="002D5A8E">
        <w:t>.</w:t>
      </w:r>
      <w:r w:rsidR="000520AF">
        <w:t xml:space="preserve"> </w:t>
      </w:r>
      <w:r w:rsidR="003D0AAD" w:rsidRPr="00585F1C">
        <w:t>Zebranych gości i prelegentów powitał</w:t>
      </w:r>
      <w:r w:rsidRPr="00585F1C">
        <w:t>a dr hab. Maria Joanna Gondek</w:t>
      </w:r>
      <w:r>
        <w:t xml:space="preserve">, Zastępca Dyrektora </w:t>
      </w:r>
      <w:r w:rsidRPr="00585F1C">
        <w:t>Krajowej Szkoły Sądownictwa i Prokuratury kierujący Ośrodkiem Szkolenia Ustawicznego i Współpracy Międzynarodowej</w:t>
      </w:r>
      <w:r>
        <w:t xml:space="preserve">, </w:t>
      </w:r>
      <w:r w:rsidR="00941CDF">
        <w:t xml:space="preserve">wprowadzając uczestników w zagadnienia </w:t>
      </w:r>
      <w:r w:rsidR="00941CDF" w:rsidRPr="003054E9">
        <w:t xml:space="preserve">dotyczące </w:t>
      </w:r>
      <w:r w:rsidR="003054E9" w:rsidRPr="003054E9">
        <w:t>istoty krzywdy oraz instytucji zadośćuczynienia za śmierć osoby najbliższej.</w:t>
      </w:r>
    </w:p>
    <w:p w14:paraId="71F17349" w14:textId="7E32C95A" w:rsidR="007B680E" w:rsidRPr="00941CDF" w:rsidRDefault="00880620" w:rsidP="00F937AE">
      <w:pPr>
        <w:spacing w:line="360" w:lineRule="auto"/>
        <w:ind w:firstLine="708"/>
        <w:jc w:val="both"/>
      </w:pPr>
      <w:r>
        <w:t>K</w:t>
      </w:r>
      <w:r w:rsidR="007B680E" w:rsidRPr="00941CDF">
        <w:t>onferencj</w:t>
      </w:r>
      <w:r>
        <w:t>a</w:t>
      </w:r>
      <w:r w:rsidR="007B680E" w:rsidRPr="00941CDF">
        <w:t xml:space="preserve"> został</w:t>
      </w:r>
      <w:r>
        <w:t>a</w:t>
      </w:r>
      <w:r w:rsidR="007B680E" w:rsidRPr="00941CDF">
        <w:t xml:space="preserve"> podzielon</w:t>
      </w:r>
      <w:r>
        <w:t>a</w:t>
      </w:r>
      <w:r w:rsidR="007B680E" w:rsidRPr="00941CDF">
        <w:t xml:space="preserve"> na </w:t>
      </w:r>
      <w:r w:rsidR="00585F1C" w:rsidRPr="00941CDF">
        <w:t xml:space="preserve">trzy </w:t>
      </w:r>
      <w:r w:rsidR="00941CDF">
        <w:t>części</w:t>
      </w:r>
      <w:r w:rsidR="00941CDF" w:rsidRPr="00941CDF">
        <w:t>. Pierwszy blok tematyczny prowadzony</w:t>
      </w:r>
      <w:r w:rsidR="00941CDF">
        <w:t xml:space="preserve"> </w:t>
      </w:r>
      <w:r w:rsidR="002E11C0">
        <w:t xml:space="preserve">był </w:t>
      </w:r>
      <w:r w:rsidR="00941CDF">
        <w:t>przez prof. dr hab. Joannę Misztal-Konecką</w:t>
      </w:r>
      <w:r w:rsidR="002E11C0">
        <w:t xml:space="preserve"> (KUL)</w:t>
      </w:r>
      <w:r w:rsidR="00941CDF">
        <w:t xml:space="preserve">, </w:t>
      </w:r>
      <w:r w:rsidR="00941CDF" w:rsidRPr="00941CDF">
        <w:t>Prezes</w:t>
      </w:r>
      <w:r w:rsidR="00941CDF">
        <w:t>a</w:t>
      </w:r>
      <w:r w:rsidR="00941CDF" w:rsidRPr="00941CDF">
        <w:t xml:space="preserve"> Sądu Najwyższego kierując</w:t>
      </w:r>
      <w:r w:rsidR="00941CDF">
        <w:t>ego</w:t>
      </w:r>
      <w:r w:rsidR="00941CDF" w:rsidRPr="00941CDF">
        <w:t xml:space="preserve"> pracą Izby Cywilnej</w:t>
      </w:r>
      <w:r w:rsidR="002E11C0">
        <w:t>.</w:t>
      </w:r>
    </w:p>
    <w:p w14:paraId="3EE82B49" w14:textId="1B06FEFC" w:rsidR="002B2844" w:rsidRPr="00585F1C" w:rsidRDefault="000A5972" w:rsidP="00F937AE">
      <w:pPr>
        <w:spacing w:line="360" w:lineRule="auto"/>
        <w:ind w:firstLine="708"/>
        <w:jc w:val="both"/>
        <w:rPr>
          <w:highlight w:val="yellow"/>
        </w:rPr>
      </w:pPr>
      <w:r w:rsidRPr="00941CDF">
        <w:t xml:space="preserve">Sesję pierwszą </w:t>
      </w:r>
      <w:r w:rsidR="00912B23" w:rsidRPr="00941CDF">
        <w:t>rozpo</w:t>
      </w:r>
      <w:r w:rsidR="002B2844" w:rsidRPr="00941CDF">
        <w:t xml:space="preserve">częło wystąpienie </w:t>
      </w:r>
      <w:r w:rsidR="00941CDF" w:rsidRPr="00941CDF">
        <w:t>dr</w:t>
      </w:r>
      <w:r w:rsidR="00F37B4B">
        <w:t>.</w:t>
      </w:r>
      <w:r w:rsidR="00941CDF" w:rsidRPr="00941CDF">
        <w:t xml:space="preserve"> hab. Jakuba Pokrzywniaka, prof. UAM</w:t>
      </w:r>
      <w:r w:rsidR="002B2844" w:rsidRPr="00941CDF">
        <w:t xml:space="preserve">, zatytułowane </w:t>
      </w:r>
      <w:r w:rsidR="00941CDF" w:rsidRPr="00941CDF">
        <w:rPr>
          <w:i/>
          <w:iCs/>
        </w:rPr>
        <w:t>Dążenie do zwiększenia przewidywalności orzecznictwa w zakresie zadośćuczynień w perspektywie konstytucyjnej i cywilnoprawnej</w:t>
      </w:r>
      <w:r w:rsidR="002B2844" w:rsidRPr="00941CDF">
        <w:rPr>
          <w:i/>
          <w:iCs/>
        </w:rPr>
        <w:t xml:space="preserve">, </w:t>
      </w:r>
      <w:r w:rsidR="002B2844" w:rsidRPr="00941CDF">
        <w:t xml:space="preserve">w którym </w:t>
      </w:r>
      <w:r w:rsidR="00984D65" w:rsidRPr="00941CDF">
        <w:t>prelegent</w:t>
      </w:r>
      <w:r w:rsidR="002E11C0">
        <w:t xml:space="preserve"> podkreślił, że </w:t>
      </w:r>
      <w:r w:rsidR="002E11C0" w:rsidRPr="002E11C0">
        <w:t>nakaz równego, czyli jednakowego traktowania wszystkich adresatów norm prawnych charakteryzujących się w takim samym stopniu tą samą, relewantną cechą</w:t>
      </w:r>
      <w:r w:rsidR="002E11C0">
        <w:t xml:space="preserve"> wynika z </w:t>
      </w:r>
      <w:r w:rsidR="002E11C0">
        <w:lastRenderedPageBreak/>
        <w:t xml:space="preserve">zasady równości wobec prawa, a tym samym stanowi obowiązek konstytucyjny. </w:t>
      </w:r>
      <w:r w:rsidR="00E3413C">
        <w:t xml:space="preserve">Ocenił </w:t>
      </w:r>
      <w:r w:rsidR="002E11C0">
        <w:t xml:space="preserve">ponadto, że </w:t>
      </w:r>
      <w:r w:rsidR="00E3413C" w:rsidRPr="00E3413C">
        <w:t>stworzenie przemyślanego narzędzia informatycznego, które pozwala w precyzyjny sposób zidentyfikować podobne przypadki i ustalić dominującą wysokość zasądzanych zadośćuczynień w tych sprawach</w:t>
      </w:r>
      <w:r w:rsidR="00E3413C">
        <w:t xml:space="preserve">, przy jednoczesnym braku ingerencji w niezawisłość sędziowską może niewątpliwie ułatwić </w:t>
      </w:r>
      <w:r w:rsidR="00E3413C" w:rsidRPr="00E3413C">
        <w:t>orzekani</w:t>
      </w:r>
      <w:r w:rsidR="00E3413C">
        <w:t>e</w:t>
      </w:r>
      <w:r w:rsidR="00E3413C" w:rsidRPr="00E3413C">
        <w:t xml:space="preserve"> w sprawach, które są rzeczywiście do siebie podobne i nie cechują się szczególnymi okolicznościami.</w:t>
      </w:r>
      <w:r w:rsidR="00984D65" w:rsidRPr="00941CDF">
        <w:t xml:space="preserve"> </w:t>
      </w:r>
    </w:p>
    <w:p w14:paraId="239E78F0" w14:textId="05B75109" w:rsidR="007B680E" w:rsidRPr="00585F1C" w:rsidRDefault="002B2844" w:rsidP="00F937AE">
      <w:pPr>
        <w:spacing w:line="360" w:lineRule="auto"/>
        <w:ind w:firstLine="708"/>
        <w:jc w:val="both"/>
        <w:rPr>
          <w:highlight w:val="yellow"/>
        </w:rPr>
      </w:pPr>
      <w:r w:rsidRPr="002012A1">
        <w:t xml:space="preserve">Następnie </w:t>
      </w:r>
      <w:r w:rsidR="00941CDF" w:rsidRPr="002012A1">
        <w:t>dr hab. Agnieszka Pyrzyńska, prof. UAM</w:t>
      </w:r>
      <w:r w:rsidR="002012A1" w:rsidRPr="002012A1">
        <w:t xml:space="preserve">, </w:t>
      </w:r>
      <w:r w:rsidR="00880620">
        <w:t>prezentując problematykę standaryzacji zadoś</w:t>
      </w:r>
      <w:r w:rsidR="000520AF">
        <w:t>ć</w:t>
      </w:r>
      <w:r w:rsidR="00880620">
        <w:t>uczynień w aspekcie komparatystycznym z</w:t>
      </w:r>
      <w:r w:rsidRPr="003054E9">
        <w:t>wrócił</w:t>
      </w:r>
      <w:r w:rsidR="00E501D0" w:rsidRPr="003054E9">
        <w:t>a</w:t>
      </w:r>
      <w:r w:rsidRPr="003054E9">
        <w:t xml:space="preserve"> uwagę</w:t>
      </w:r>
      <w:r w:rsidR="00E501D0" w:rsidRPr="003054E9">
        <w:t xml:space="preserve"> na </w:t>
      </w:r>
      <w:r w:rsidR="0007685E" w:rsidRPr="003054E9">
        <w:t>różnice wynikające z różnych kultur prawnych</w:t>
      </w:r>
      <w:r w:rsidR="00D64F3A" w:rsidRPr="003054E9">
        <w:t>. W swoim wystąpieniu</w:t>
      </w:r>
      <w:r w:rsidR="0007685E" w:rsidRPr="003054E9">
        <w:t>, opartym na przeprowadzonych badaniach systemów brytyjskiego (Anglia i Walia), francuskiego, greckiego, hiszpańskiego, litewskiego, niemieckiego, słoweńskiego, szwedzkiego oraz włoskiego,</w:t>
      </w:r>
      <w:r w:rsidR="00D64F3A" w:rsidRPr="003054E9">
        <w:t xml:space="preserve"> </w:t>
      </w:r>
      <w:r w:rsidR="0007685E" w:rsidRPr="003054E9">
        <w:t xml:space="preserve">wyodrębniła cztery podstawowe metody standaryzacji zadośćuczynienia za śmierć osoby bliskiej: wypracowanie kryteriów standaryzacji w orzecznictwie sądowym; standaryzację w zakresie terminologii; standaryzację poprzez ustawowe wskazanie osób uprawnionych do zadośćuczynienia za śmierć oraz standaryzację ustawową (system prawnej wyceny szkody), jako najwyższy poziom standaryzacji. Podsumowując </w:t>
      </w:r>
      <w:r w:rsidR="00EB63C2">
        <w:t>zwróciła uwagę na pozytywny aspekt standaryzacji przywołując</w:t>
      </w:r>
      <w:r w:rsidR="0007685E" w:rsidRPr="003054E9">
        <w:t xml:space="preserve">, że w hiszpańskim systemie prawnym, po </w:t>
      </w:r>
      <w:r w:rsidR="00EB63C2">
        <w:t xml:space="preserve">jej </w:t>
      </w:r>
      <w:r w:rsidR="0007685E" w:rsidRPr="003054E9">
        <w:t>dokonaniu, liczba sporów sądowych</w:t>
      </w:r>
      <w:r w:rsidR="00880620">
        <w:t xml:space="preserve"> znacząco</w:t>
      </w:r>
      <w:r w:rsidR="0007685E" w:rsidRPr="003054E9">
        <w:t xml:space="preserve"> spadła.</w:t>
      </w:r>
    </w:p>
    <w:p w14:paraId="5B96392A" w14:textId="6D3627FE" w:rsidR="002B2844" w:rsidRPr="00585F1C" w:rsidRDefault="00F37B4B" w:rsidP="00F937AE">
      <w:pPr>
        <w:spacing w:line="360" w:lineRule="auto"/>
        <w:ind w:firstLine="708"/>
        <w:jc w:val="both"/>
        <w:rPr>
          <w:highlight w:val="yellow"/>
        </w:rPr>
      </w:pPr>
      <w:r>
        <w:t xml:space="preserve">Sesję zakończyło wystąpienie </w:t>
      </w:r>
      <w:r w:rsidRPr="00F37B4B">
        <w:t>dr</w:t>
      </w:r>
      <w:r>
        <w:t>.</w:t>
      </w:r>
      <w:r w:rsidRPr="00F37B4B">
        <w:t xml:space="preserve"> hab. Marcin</w:t>
      </w:r>
      <w:r>
        <w:t>a</w:t>
      </w:r>
      <w:r w:rsidRPr="00F37B4B">
        <w:t xml:space="preserve"> </w:t>
      </w:r>
      <w:proofErr w:type="spellStart"/>
      <w:r w:rsidRPr="00F37B4B">
        <w:t>Dziurd</w:t>
      </w:r>
      <w:r>
        <w:t>y</w:t>
      </w:r>
      <w:proofErr w:type="spellEnd"/>
      <w:r w:rsidRPr="00F37B4B">
        <w:t xml:space="preserve"> (UW), członk</w:t>
      </w:r>
      <w:r>
        <w:t>a</w:t>
      </w:r>
      <w:r w:rsidRPr="00F37B4B">
        <w:t xml:space="preserve"> Biura Studiów i Analiz Sądu Najwyższego</w:t>
      </w:r>
      <w:r>
        <w:t>,</w:t>
      </w:r>
      <w:r w:rsidR="002B2844" w:rsidRPr="00F37B4B">
        <w:t xml:space="preserve"> </w:t>
      </w:r>
      <w:r w:rsidR="00912B23" w:rsidRPr="00F37B4B">
        <w:t>zatytułowane</w:t>
      </w:r>
      <w:r w:rsidR="002B2844" w:rsidRPr="00F37B4B">
        <w:t xml:space="preserve"> </w:t>
      </w:r>
      <w:r w:rsidRPr="00F37B4B">
        <w:rPr>
          <w:i/>
          <w:iCs/>
        </w:rPr>
        <w:t>Czy możliwa jest standaryzacja wysokości zadośćuczynień w wyniku orzecznictwa Sądu Najwyższego</w:t>
      </w:r>
      <w:r w:rsidR="002B2844" w:rsidRPr="00F37B4B">
        <w:t xml:space="preserve">. </w:t>
      </w:r>
      <w:r w:rsidR="00B37E19">
        <w:t>Przedstawił on analizę orzecznictwa Sądu Najwyższego w sprawach o zadośćuczynienie z tytułu śmierci osoby najbliższej oraz podkreślił, przywołując wyrok SN z dnia 24 lutego 2023 r. (II CSKP 849/22), że o</w:t>
      </w:r>
      <w:r w:rsidR="00B37E19" w:rsidRPr="00B37E19">
        <w:t xml:space="preserve">kreślenie wysokości zadośćuczynienia na podstawie </w:t>
      </w:r>
      <w:proofErr w:type="spellStart"/>
      <w:r w:rsidR="00B37E19" w:rsidRPr="00B37E19">
        <w:t>ocennych</w:t>
      </w:r>
      <w:proofErr w:type="spellEnd"/>
      <w:r w:rsidR="00B37E19" w:rsidRPr="00B37E19">
        <w:t xml:space="preserve"> kryteriów, stanowi istotny atrybut sądów </w:t>
      </w:r>
      <w:proofErr w:type="spellStart"/>
      <w:r w:rsidR="00B37E19" w:rsidRPr="00B37E19">
        <w:t>meriti</w:t>
      </w:r>
      <w:proofErr w:type="spellEnd"/>
      <w:r w:rsidR="00B37E19" w:rsidRPr="00B37E19">
        <w:t xml:space="preserve"> i prawomocne orzeczenie sądu drugiej instancji może zostać skutecznie zakwestionowane w skardze kasacyjnej jedynie w razie stwierdzenia wyraźnego naruszenia zasad ustalania zadośćuczynienia. Naruszenie tych zasad może polegać na nieuwzględnieniu istotnych czynników mających znaczenie dla określenia rozmiaru krzywdy i należnej w związku z tym rekompensaty albo na oczywiście wadliwej ocenie tych czynników pod kątem ustalenia zadośćuczynienia </w:t>
      </w:r>
      <w:r w:rsidR="00EB63C2">
        <w:t>„</w:t>
      </w:r>
      <w:r w:rsidR="00B37E19" w:rsidRPr="00B37E19">
        <w:t>odpowiedniego</w:t>
      </w:r>
      <w:r w:rsidR="00EB63C2">
        <w:t>”</w:t>
      </w:r>
      <w:r w:rsidR="00B37E19" w:rsidRPr="00B37E19">
        <w:t xml:space="preserve"> w rozumieniu art. 446 § 4 k.c. </w:t>
      </w:r>
      <w:r w:rsidR="00B37E19">
        <w:t>W ocenie prelegenta, b</w:t>
      </w:r>
      <w:r w:rsidR="001D2F9D">
        <w:t xml:space="preserve">ez rozwiązań ustawowych nie jest możliwe, aby </w:t>
      </w:r>
      <w:r w:rsidR="00B37E19">
        <w:t xml:space="preserve">Sąd Najwyższy, będąc sądem prawa, a nie faktu, </w:t>
      </w:r>
      <w:r w:rsidR="001D2F9D">
        <w:t>wypracował kryteria</w:t>
      </w:r>
      <w:r w:rsidR="00B37E19">
        <w:t xml:space="preserve"> mogące służyć standaryzacji. Zwrócił przy tym uwagę, że Sąd Najwyższy w orzeczeniach </w:t>
      </w:r>
      <w:proofErr w:type="spellStart"/>
      <w:r w:rsidR="00B37E19">
        <w:t>reformatoryjnych</w:t>
      </w:r>
      <w:proofErr w:type="spellEnd"/>
      <w:r w:rsidR="00B37E19">
        <w:t xml:space="preserve">, wydawanych w postępowaniach kasacyjnych, co do zasady istotnie podwyższał zasądzone kwoty zadośćuczynień, uznając kwoty wcześniej zasądzone za symboliczne. </w:t>
      </w:r>
    </w:p>
    <w:p w14:paraId="68D32E10" w14:textId="293DE91E" w:rsidR="002B78A6" w:rsidRPr="00F417EB" w:rsidRDefault="00F8790F" w:rsidP="00F417EB">
      <w:pPr>
        <w:spacing w:line="360" w:lineRule="auto"/>
        <w:ind w:firstLine="708"/>
        <w:jc w:val="both"/>
      </w:pPr>
      <w:r w:rsidRPr="00F417EB">
        <w:lastRenderedPageBreak/>
        <w:t>W trakcie dyskusji po pierwsz</w:t>
      </w:r>
      <w:r w:rsidR="009A114E" w:rsidRPr="00F417EB">
        <w:t>ej sesji</w:t>
      </w:r>
      <w:r w:rsidRPr="00F417EB">
        <w:t xml:space="preserve"> </w:t>
      </w:r>
      <w:r w:rsidR="00880620">
        <w:t>w</w:t>
      </w:r>
      <w:r w:rsidR="00610A92" w:rsidRPr="00F417EB">
        <w:t xml:space="preserve">skazano na istniejący </w:t>
      </w:r>
      <w:r w:rsidRPr="00F417EB">
        <w:t>problem</w:t>
      </w:r>
      <w:r w:rsidR="00A324F8" w:rsidRPr="00F417EB">
        <w:t xml:space="preserve"> określenia słusznej </w:t>
      </w:r>
      <w:r w:rsidR="009B4956" w:rsidRPr="00F417EB">
        <w:t>wysokoś</w:t>
      </w:r>
      <w:r w:rsidR="00A324F8" w:rsidRPr="00F417EB">
        <w:t>ci</w:t>
      </w:r>
      <w:r w:rsidR="009B4956" w:rsidRPr="00F417EB">
        <w:t xml:space="preserve"> zadośćuczynienia </w:t>
      </w:r>
      <w:r w:rsidR="00A324F8" w:rsidRPr="00F417EB">
        <w:t xml:space="preserve">wobec poruszania </w:t>
      </w:r>
      <w:r w:rsidR="009B4956" w:rsidRPr="00F417EB">
        <w:t>się na gruncie klauzul generalnych</w:t>
      </w:r>
      <w:r w:rsidR="00A324F8" w:rsidRPr="00F417EB">
        <w:t>,</w:t>
      </w:r>
      <w:r w:rsidR="00880620">
        <w:t xml:space="preserve"> gdyż</w:t>
      </w:r>
      <w:r w:rsidR="00A324F8" w:rsidRPr="00F417EB">
        <w:t xml:space="preserve"> z</w:t>
      </w:r>
      <w:r w:rsidR="009B4956" w:rsidRPr="00F417EB">
        <w:t xml:space="preserve"> jednej strony oznacza</w:t>
      </w:r>
      <w:r w:rsidR="00880620">
        <w:t xml:space="preserve"> to</w:t>
      </w:r>
      <w:r w:rsidR="009B4956" w:rsidRPr="00F417EB">
        <w:t xml:space="preserve"> pewną swobodę sędziego</w:t>
      </w:r>
      <w:r w:rsidR="00880620">
        <w:t xml:space="preserve"> w zakresie orzekania</w:t>
      </w:r>
      <w:r w:rsidR="009B4956" w:rsidRPr="00F417EB">
        <w:t xml:space="preserve">, z drugiej </w:t>
      </w:r>
      <w:r w:rsidR="00A324F8" w:rsidRPr="00F417EB">
        <w:t xml:space="preserve">zaś </w:t>
      </w:r>
      <w:r w:rsidR="009B4956" w:rsidRPr="00F417EB">
        <w:t>muszą zostać</w:t>
      </w:r>
      <w:r w:rsidR="00A324F8" w:rsidRPr="00F417EB">
        <w:t xml:space="preserve"> </w:t>
      </w:r>
      <w:r w:rsidR="009B4956" w:rsidRPr="00F417EB">
        <w:t>określone miary</w:t>
      </w:r>
      <w:r w:rsidR="00880620">
        <w:t xml:space="preserve"> tej swobody</w:t>
      </w:r>
      <w:r w:rsidR="009B4956" w:rsidRPr="00F417EB">
        <w:t xml:space="preserve">. </w:t>
      </w:r>
      <w:r w:rsidR="00A324F8" w:rsidRPr="00F417EB">
        <w:t xml:space="preserve">Podkreślono, że na </w:t>
      </w:r>
      <w:r w:rsidR="009B4956" w:rsidRPr="00F417EB">
        <w:t xml:space="preserve">podstawie orzecznictwa można określić filary w zakresie </w:t>
      </w:r>
      <w:r w:rsidR="00A324F8" w:rsidRPr="00F417EB">
        <w:t xml:space="preserve">wysokości </w:t>
      </w:r>
      <w:r w:rsidR="009B4956" w:rsidRPr="00F417EB">
        <w:t xml:space="preserve">zasądzanych kwot, </w:t>
      </w:r>
      <w:r w:rsidR="00A324F8" w:rsidRPr="00F417EB">
        <w:t xml:space="preserve">jednak </w:t>
      </w:r>
      <w:r w:rsidR="00880620">
        <w:t>w orzecznictwie dominuje podejście</w:t>
      </w:r>
      <w:r w:rsidR="009B4956" w:rsidRPr="00F417EB">
        <w:t xml:space="preserve"> nakazujące traktować każdy przypadek indywidualnie, co </w:t>
      </w:r>
      <w:r w:rsidR="00B65089">
        <w:t>może oddziaływać</w:t>
      </w:r>
      <w:r w:rsidR="009B4956" w:rsidRPr="00F417EB">
        <w:t xml:space="preserve"> negatywnie na </w:t>
      </w:r>
      <w:r w:rsidR="00A324F8" w:rsidRPr="00F417EB">
        <w:t xml:space="preserve">możliwość </w:t>
      </w:r>
      <w:r w:rsidR="009B4956" w:rsidRPr="00F417EB">
        <w:t>standaryzacj</w:t>
      </w:r>
      <w:r w:rsidR="00A324F8" w:rsidRPr="00F417EB">
        <w:t>i</w:t>
      </w:r>
      <w:r w:rsidR="009B4956" w:rsidRPr="00F417EB">
        <w:t xml:space="preserve">. </w:t>
      </w:r>
      <w:r w:rsidR="00A324F8" w:rsidRPr="00F417EB">
        <w:t xml:space="preserve">Uczestnicy zgodzili się co do zasady, że standaryzacja wysokości zadośćuczynień z tytułu śmierci osoby najbliższej jest potrzebna, </w:t>
      </w:r>
      <w:r w:rsidR="001135FD" w:rsidRPr="00F417EB">
        <w:t>koncentrując debatę na jej granicach. Zwrócono uwagę, że szkoda niemajątkowa na osobie jest obszarem prawa cywilnego, gdzie uznaniowość jest nieporównywalnie szeroka</w:t>
      </w:r>
      <w:r w:rsidR="00F417EB" w:rsidRPr="00F417EB">
        <w:t>, a szczególny charakter systemu ubezpieczeń obowiązkowych wymaga wypracowania wzorcowych rozwiązań</w:t>
      </w:r>
      <w:r w:rsidR="001135FD" w:rsidRPr="00F417EB">
        <w:t xml:space="preserve">. Podkreślono, że </w:t>
      </w:r>
      <w:r w:rsidR="00A324F8" w:rsidRPr="00F417EB">
        <w:t>zasada równości wobec prawa sprzeciwia się różnicowaniu kwot zadośćuczynień zasądzanych w sprawach, w których występują zbliżone okoliczności faktyczne</w:t>
      </w:r>
      <w:r w:rsidR="004D1E7C">
        <w:t xml:space="preserve">. Zauważono, że mają miejsce </w:t>
      </w:r>
      <w:r w:rsidR="001135FD" w:rsidRPr="00F417EB">
        <w:t>regionalizm</w:t>
      </w:r>
      <w:r w:rsidR="004D1E7C">
        <w:t>y</w:t>
      </w:r>
      <w:r w:rsidR="001135FD" w:rsidRPr="00F417EB">
        <w:t xml:space="preserve"> wynikając</w:t>
      </w:r>
      <w:r w:rsidR="004D1E7C">
        <w:t>e</w:t>
      </w:r>
      <w:r w:rsidR="001135FD" w:rsidRPr="00F417EB">
        <w:t xml:space="preserve"> z odmiennej linii orzeczniczej sądu apelacyjnego, w którego właściwości rozpoznawana</w:t>
      </w:r>
      <w:r w:rsidR="004D1E7C">
        <w:t xml:space="preserve"> jest dana sprawa</w:t>
      </w:r>
      <w:r w:rsidR="001135FD" w:rsidRPr="00F417EB">
        <w:t>. Sygnalizowano także ryzyko zachowawczego podejścia do próby standaryzacji na poziomie orzecznic</w:t>
      </w:r>
      <w:r w:rsidR="004D1E7C">
        <w:t>zym</w:t>
      </w:r>
      <w:r w:rsidR="001135FD" w:rsidRPr="00F417EB">
        <w:t xml:space="preserve">, dostrzegając zalety standaryzacji ustawowej, np. na wzór </w:t>
      </w:r>
      <w:r w:rsidR="004D1E7C">
        <w:t>wło</w:t>
      </w:r>
      <w:r w:rsidR="001135FD" w:rsidRPr="00F417EB">
        <w:t xml:space="preserve">ski. </w:t>
      </w:r>
      <w:r w:rsidR="00F417EB" w:rsidRPr="00F417EB">
        <w:t xml:space="preserve">Odwołano się także do procesu kształtowania się instytucji zadośćuczynienia  w drodze rozwoju historycznego, a także poddano refleksji granice roszczeń o zadośćuczynienie. Większość uczestników konferencji poparła aktualnie obowiązujący mechanizm kompensacji szkody niemajątkowej w drodze świadczenia pieniężnego, </w:t>
      </w:r>
      <w:r w:rsidR="002B78A6" w:rsidRPr="00F417EB">
        <w:t>podkreśl</w:t>
      </w:r>
      <w:r w:rsidR="00F417EB" w:rsidRPr="00F417EB">
        <w:t>ając</w:t>
      </w:r>
      <w:r w:rsidR="002B78A6" w:rsidRPr="00F417EB">
        <w:t xml:space="preserve"> autonomiczność </w:t>
      </w:r>
      <w:r w:rsidR="00F417EB" w:rsidRPr="00F417EB">
        <w:t xml:space="preserve">osób </w:t>
      </w:r>
      <w:r w:rsidR="002B78A6" w:rsidRPr="00F417EB">
        <w:t xml:space="preserve">dotkniętych krzywdą </w:t>
      </w:r>
      <w:r w:rsidR="00F417EB" w:rsidRPr="00F417EB">
        <w:t xml:space="preserve">w zakresie ich </w:t>
      </w:r>
      <w:r w:rsidR="002B78A6" w:rsidRPr="00F417EB">
        <w:t>praw</w:t>
      </w:r>
      <w:r w:rsidR="00F417EB" w:rsidRPr="00F417EB">
        <w:t>a</w:t>
      </w:r>
      <w:r w:rsidR="002B78A6" w:rsidRPr="00F417EB">
        <w:t xml:space="preserve"> do swobodnego decydowania, czy </w:t>
      </w:r>
      <w:r w:rsidR="00F417EB" w:rsidRPr="00F417EB">
        <w:t>oczekują takiej formy kompensacji.</w:t>
      </w:r>
    </w:p>
    <w:p w14:paraId="7A18FD2F" w14:textId="77777777" w:rsidR="0055253A" w:rsidRDefault="00F37B4B" w:rsidP="00F937AE">
      <w:pPr>
        <w:spacing w:line="360" w:lineRule="auto"/>
        <w:ind w:firstLine="708"/>
        <w:jc w:val="both"/>
      </w:pPr>
      <w:r w:rsidRPr="00346BB7">
        <w:t>Drugą</w:t>
      </w:r>
      <w:r w:rsidR="009A114E" w:rsidRPr="00346BB7">
        <w:t xml:space="preserve"> sesj</w:t>
      </w:r>
      <w:r w:rsidRPr="00346BB7">
        <w:t>ę, moderowaną przez dr hab. Beatę Janiszewską (UW),</w:t>
      </w:r>
      <w:r w:rsidR="00AD6D79" w:rsidRPr="00346BB7">
        <w:t xml:space="preserve"> </w:t>
      </w:r>
      <w:r w:rsidRPr="00346BB7">
        <w:t>rozpoczęł</w:t>
      </w:r>
      <w:r w:rsidR="00346BB7" w:rsidRPr="00346BB7">
        <w:t xml:space="preserve">a dyskusja panelowa, w której </w:t>
      </w:r>
      <w:r w:rsidR="00AD6D79" w:rsidRPr="00346BB7">
        <w:t xml:space="preserve">sędzia </w:t>
      </w:r>
      <w:r w:rsidR="00346BB7" w:rsidRPr="00346BB7">
        <w:t xml:space="preserve">Piotr Jakubiec, biegły sądowy dr hab. Wacław Bąk, prof. KUL oraz biegły sądowy lekarz psychiatra Adam </w:t>
      </w:r>
      <w:proofErr w:type="spellStart"/>
      <w:r w:rsidR="00346BB7" w:rsidRPr="00346BB7">
        <w:t>Kojtych</w:t>
      </w:r>
      <w:proofErr w:type="spellEnd"/>
      <w:r w:rsidR="00346BB7" w:rsidRPr="00346BB7">
        <w:t xml:space="preserve"> </w:t>
      </w:r>
      <w:r w:rsidR="00346BB7">
        <w:t xml:space="preserve">poruszyli zagadnienie źródła i zakresu krzywdy powoda w sprawach o zadośćuczynienie z tytułu śmierci osoby najbliższej. </w:t>
      </w:r>
    </w:p>
    <w:p w14:paraId="7F7A2D53" w14:textId="28C00A4C" w:rsidR="0055253A" w:rsidRPr="009258E8" w:rsidRDefault="00FE0692" w:rsidP="00F937AE">
      <w:pPr>
        <w:spacing w:line="360" w:lineRule="auto"/>
        <w:ind w:firstLine="708"/>
        <w:jc w:val="both"/>
      </w:pPr>
      <w:r w:rsidRPr="009258E8">
        <w:t>S</w:t>
      </w:r>
      <w:r w:rsidR="0055253A" w:rsidRPr="009258E8">
        <w:t>ędzia Piotr Jakubiec</w:t>
      </w:r>
      <w:r w:rsidRPr="009258E8">
        <w:t xml:space="preserve"> poddał pod dyskusję zakres i źródło krzywdy powoda oraz wskazał na możliwość obiektywnego, bądź subiektywnego postrzegania jej rozmiaru. W tym pierwszym ocena dokonywana jest z perspektywy formalnej relacji między zmarłym a osobą najbliższą, z drugą zaś związana jest konieczność uwzględnienia dodatkowych czynników, </w:t>
      </w:r>
      <w:r w:rsidR="0031565C" w:rsidRPr="009258E8">
        <w:t xml:space="preserve">takich jak stopień bliskości, okoliczności </w:t>
      </w:r>
      <w:r w:rsidR="004D1E7C">
        <w:t>zdarzenia</w:t>
      </w:r>
      <w:r w:rsidR="004D1E7C" w:rsidRPr="009258E8">
        <w:t xml:space="preserve"> </w:t>
      </w:r>
      <w:r w:rsidR="0031565C" w:rsidRPr="009258E8">
        <w:t>oraz mające miejsce po wystąpieniu zdarzenia szkodowego, czy struktura psychiczna samego powoda</w:t>
      </w:r>
      <w:r w:rsidR="00B82B44" w:rsidRPr="009258E8">
        <w:t>, skutkujące nadmiernymi, patologicznymi reakcjami</w:t>
      </w:r>
      <w:r w:rsidR="0031565C" w:rsidRPr="009258E8">
        <w:t xml:space="preserve"> </w:t>
      </w:r>
      <w:r w:rsidR="00B82B44" w:rsidRPr="009258E8">
        <w:t xml:space="preserve">występującymi w toku procesu żałoby. Poddał jednak w wątpliwość, czy możliwym i prawidłowym jest próba ustalenia, a jeżeli tak, to w jakim zakresie, </w:t>
      </w:r>
      <w:r w:rsidR="00B82B44" w:rsidRPr="009258E8">
        <w:lastRenderedPageBreak/>
        <w:t xml:space="preserve">teoretycznego stanu psychicznego powoda pośrednio poszkodowanego na skutek zdarzenia szkodowego, gdyby nie jego indywidualna struktura psychiczna, czy inne elementy mające wpływ na zwiększenie się jego krzywdy, czy też bardziej prawidłowym podejściem jest postrzeganie finalnego stopnia krzywdy z uwzględnieniem tych wszystkich czynników, determinowanych pierwotnie śmiercią osoby najbliższej. </w:t>
      </w:r>
      <w:r w:rsidR="0031565C" w:rsidRPr="009258E8">
        <w:t>Postawił także pytanie o</w:t>
      </w:r>
      <w:r w:rsidR="009258E8" w:rsidRPr="009258E8">
        <w:t xml:space="preserve"> konieczność </w:t>
      </w:r>
      <w:r w:rsidR="0031565C" w:rsidRPr="009258E8">
        <w:t xml:space="preserve">korzystania </w:t>
      </w:r>
      <w:r w:rsidR="004D1E7C">
        <w:t xml:space="preserve">przez sędziego </w:t>
      </w:r>
      <w:r w:rsidR="0031565C" w:rsidRPr="009258E8">
        <w:t>z wiedzy specjalistycznej biegłych sądowych. Jak wskazał, w sprawach typowych, przy występowaniu okoliczności postrzegalnych, rozmiar krzywdy zdaje się być możliwy do samodzielnego określenia przez sąd, a dowód z opinii biegłego jest wówczas zbędny, a jeśli jest dopuszczany, pełni wyłącznie funkcję weryfika</w:t>
      </w:r>
      <w:r w:rsidR="004D1E7C">
        <w:t>cyjną wobec</w:t>
      </w:r>
      <w:r w:rsidR="0031565C" w:rsidRPr="009258E8">
        <w:t xml:space="preserve"> ustaleń sądu. </w:t>
      </w:r>
    </w:p>
    <w:p w14:paraId="6C9410B0" w14:textId="43F3E0B0" w:rsidR="007E5F29" w:rsidRDefault="009258E8" w:rsidP="009258E8">
      <w:pPr>
        <w:spacing w:line="360" w:lineRule="auto"/>
        <w:ind w:firstLine="708"/>
        <w:jc w:val="both"/>
      </w:pPr>
      <w:r w:rsidRPr="007B3E99">
        <w:t xml:space="preserve">Doktor Adam </w:t>
      </w:r>
      <w:proofErr w:type="spellStart"/>
      <w:r w:rsidRPr="007B3E99">
        <w:t>Kojtych</w:t>
      </w:r>
      <w:proofErr w:type="spellEnd"/>
      <w:r w:rsidRPr="007B3E99">
        <w:t xml:space="preserve"> pozytywnie ocenił podejmowanie prób zmierzających w kierunku standaryzacji, przy jednoczesnej obiektywizacji rzeczy jej podlegających. Podkreślił jednak, że niemożliwa jest standaryzacja bólu, cierpienia i więzi, i w tym też zakresie nie można oczekiwać od biegłego pełnej odpowiedzi </w:t>
      </w:r>
      <w:r w:rsidR="007B3E99" w:rsidRPr="007B3E99">
        <w:t>na stawiane przez sąd pytania</w:t>
      </w:r>
      <w:r w:rsidRPr="007B3E99">
        <w:t xml:space="preserve">, zaś sama opinia może mieć charakter jedynie pomocniczy. </w:t>
      </w:r>
      <w:r w:rsidR="007B3E99" w:rsidRPr="007B3E99">
        <w:t xml:space="preserve">Nie istnieją bowiem obiektywne metody oceny więzi i bólu, zaś lekarz może ocenić wyłącznie skutki medyczne, jakie spowodowało dane </w:t>
      </w:r>
      <w:r w:rsidR="004D1E7C">
        <w:t xml:space="preserve">traumatyczne </w:t>
      </w:r>
      <w:r w:rsidR="007B3E99" w:rsidRPr="007B3E99">
        <w:t xml:space="preserve">zdarzenie. </w:t>
      </w:r>
      <w:r w:rsidRPr="007B3E99">
        <w:t>Wskazał, że wy</w:t>
      </w:r>
      <w:r w:rsidR="007B3E99" w:rsidRPr="007B3E99">
        <w:t xml:space="preserve">dawać by się mogło, że nie powinno uwzględniać się cech osobowościowych wpływających na sposób przeżywania traumy jako decydujących, jednak zauważył, że ścisłe normy postrzegania żałoby jako standardowej nie istnieją. Zwrócił także </w:t>
      </w:r>
      <w:r w:rsidR="00401BCF">
        <w:t>uwagę</w:t>
      </w:r>
      <w:r w:rsidR="007B3E99" w:rsidRPr="007B3E99">
        <w:t xml:space="preserve"> na różnice w klasyfikacj</w:t>
      </w:r>
      <w:r w:rsidR="00401BCF">
        <w:t>ach</w:t>
      </w:r>
      <w:r w:rsidR="007B3E99" w:rsidRPr="007B3E99">
        <w:t xml:space="preserve"> ICD-11 oraz DSM-5, z których ta pierwsza dopuszcza definiowanie żałoby trwającej ponad 6 miesięcy (do dwóch lat) jako przedłużonej, zaś druga – </w:t>
      </w:r>
      <w:r w:rsidR="004D1E7C" w:rsidRPr="007B3E99">
        <w:t xml:space="preserve">nakazuje klasyfikować jako depresję </w:t>
      </w:r>
      <w:r w:rsidR="007B3E99" w:rsidRPr="007B3E99">
        <w:t xml:space="preserve">utrzymywanie się objawów depresyjnych ponad 2 tygodnie od zdarzenia. </w:t>
      </w:r>
      <w:r w:rsidR="00401BCF">
        <w:t xml:space="preserve">Podkreślił także potrzebę ujednolicenia terminologii prawnej i medycznej, albowiem obecnie problemem są nieprzystające do aktualnej wiedzy medycznej terminy używane w przepisach prawa, co </w:t>
      </w:r>
      <w:r w:rsidR="00EB63C2">
        <w:t>ma</w:t>
      </w:r>
      <w:r w:rsidR="00401BCF">
        <w:t xml:space="preserve"> szczególnie istotne znaczenie w świetle wpływu nomenklatury medycznej na orzeczenie sądu.</w:t>
      </w:r>
    </w:p>
    <w:p w14:paraId="2EB9ACA5" w14:textId="7DFF9BF2" w:rsidR="00362DC5" w:rsidRDefault="00401BCF" w:rsidP="00362DC5">
      <w:pPr>
        <w:spacing w:line="360" w:lineRule="auto"/>
        <w:ind w:firstLine="708"/>
        <w:jc w:val="both"/>
      </w:pPr>
      <w:r>
        <w:t xml:space="preserve">Profesor Wacław Bąk podkreślił, że nie wolno abstrahować od problemu stanu psychicznego powoda po zdarzeniu, </w:t>
      </w:r>
      <w:r w:rsidR="00EB63C2">
        <w:t xml:space="preserve">w odniesieniu do </w:t>
      </w:r>
      <w:r>
        <w:t>jego wcześniejsz</w:t>
      </w:r>
      <w:r w:rsidR="00EB63C2">
        <w:t>ej</w:t>
      </w:r>
      <w:r>
        <w:t xml:space="preserve"> struktur</w:t>
      </w:r>
      <w:r w:rsidR="00EB63C2">
        <w:t>y</w:t>
      </w:r>
      <w:r>
        <w:t xml:space="preserve"> psychiczn</w:t>
      </w:r>
      <w:r w:rsidR="00EB63C2">
        <w:t>ej</w:t>
      </w:r>
      <w:r>
        <w:t>, która to znacząco wpływa na konsekwencj</w:t>
      </w:r>
      <w:r w:rsidR="00EB63C2">
        <w:t>e</w:t>
      </w:r>
      <w:r>
        <w:t xml:space="preserve"> określonych zdarzeń. Niemniej jednak, indywidualne cechy badanego nie przesądzają o wystąpieniu danych reakcji na zdarzenie, a jedynie pozwalają określić prawdopodobieństwo </w:t>
      </w:r>
      <w:r w:rsidR="00EB63C2">
        <w:t>ich</w:t>
      </w:r>
      <w:r>
        <w:t xml:space="preserve"> wystąpienia. Jednocześnie zwrócił uwagę, że charakter analizowanych zdarzeń może być bardziej obiektywny, bądź subiektywny, to jednak połączenie tych kryteriów nie jest możliwe. Formalna relacja </w:t>
      </w:r>
      <w:r w:rsidR="00362DC5">
        <w:t xml:space="preserve">między zmarłym a powodem możliwa jest do obiektywnego opisania, jednak jej siła i charakter wymaga ujęcia subiektywnego, i w </w:t>
      </w:r>
      <w:r w:rsidR="004D1E7C">
        <w:t xml:space="preserve">tym </w:t>
      </w:r>
      <w:r w:rsidR="00362DC5">
        <w:t xml:space="preserve">przypadku uwidacznia się rola psychologa. Opinia psychologiczna w </w:t>
      </w:r>
      <w:r w:rsidR="00362DC5">
        <w:lastRenderedPageBreak/>
        <w:t>sprawie może okazać się niezbędna, gdy ma wnieść coś więcej, aniżeli to, co możliwe jest do potocznego, zdroworozsądkowego spostrzeżenia. Biegły w toku badania psychologicznego ma znacznie szersze możliwości oceny charakteru subiektywnych doświadczeń danej osoby, dysponuje bardziej obiektywnymi narzędziami oceny, ma możliwość stworzenia warunków dotarcia do faktycznych jej przeżyć</w:t>
      </w:r>
      <w:r w:rsidR="00EB63C2">
        <w:t>,</w:t>
      </w:r>
      <w:r w:rsidR="00362DC5">
        <w:t xml:space="preserve"> </w:t>
      </w:r>
      <w:r w:rsidR="00EB63C2">
        <w:t xml:space="preserve">w przeciwieństwie do </w:t>
      </w:r>
      <w:r w:rsidR="00362DC5">
        <w:t xml:space="preserve">warunków i możliwości </w:t>
      </w:r>
      <w:r w:rsidR="00EB63C2">
        <w:t xml:space="preserve">występujących </w:t>
      </w:r>
      <w:r w:rsidR="00362DC5">
        <w:t xml:space="preserve">na sali sądowej. Prof. Bąk wskazał, że nieporozumieniem jest pojmowanie stanu psychicznego jako </w:t>
      </w:r>
      <w:r w:rsidR="00362DC5" w:rsidRPr="00C3385F">
        <w:rPr>
          <w:i/>
        </w:rPr>
        <w:t>tabula rasa</w:t>
      </w:r>
      <w:r w:rsidR="00362DC5">
        <w:t xml:space="preserve">, a dopiero pewne doświadczenie wywołuje reakcję. Podkreślił, że </w:t>
      </w:r>
      <w:r w:rsidR="004D1E7C">
        <w:t>a</w:t>
      </w:r>
      <w:r w:rsidR="00362DC5">
        <w:t xml:space="preserve">by reakcja na dane zdarzenie była taka, a nie inna, struktura człowieka nie musi być wcale definiowana jako patologiczna. </w:t>
      </w:r>
    </w:p>
    <w:p w14:paraId="1C30F23E" w14:textId="05580008" w:rsidR="004A1EAB" w:rsidRPr="002D5A8E" w:rsidRDefault="00346BB7" w:rsidP="00F937AE">
      <w:pPr>
        <w:spacing w:line="360" w:lineRule="auto"/>
        <w:ind w:firstLine="708"/>
        <w:jc w:val="both"/>
      </w:pPr>
      <w:r w:rsidRPr="002D5A8E">
        <w:t>Autorem kolejnego wystąpienia był</w:t>
      </w:r>
      <w:r w:rsidR="00AD6D79" w:rsidRPr="002D5A8E">
        <w:t xml:space="preserve"> sędzia dr </w:t>
      </w:r>
      <w:r w:rsidRPr="002D5A8E">
        <w:t xml:space="preserve">Jędrzej Kondek, związany ze Szkołą Wyższą Wymiaru Sprawiedliwości w Warszawie, który </w:t>
      </w:r>
      <w:r w:rsidR="005D234A" w:rsidRPr="002D5A8E">
        <w:t xml:space="preserve">podczas wystąpienia zatytułowanego </w:t>
      </w:r>
      <w:r w:rsidRPr="002D5A8E">
        <w:rPr>
          <w:i/>
        </w:rPr>
        <w:t xml:space="preserve">Postępowanie w sprawie o zadośćuczynienie z tytułu śmierci osoby najbliższej w świetle badań aktowych </w:t>
      </w:r>
      <w:r w:rsidR="00AD6D79" w:rsidRPr="002D5A8E">
        <w:t xml:space="preserve">przedstawił wyniki </w:t>
      </w:r>
      <w:r w:rsidR="004A1EAB" w:rsidRPr="002D5A8E">
        <w:t xml:space="preserve">własnych </w:t>
      </w:r>
      <w:r w:rsidR="00AD6D79" w:rsidRPr="002D5A8E">
        <w:t xml:space="preserve">badań dotyczących </w:t>
      </w:r>
      <w:r w:rsidR="004A1EAB" w:rsidRPr="002D5A8E">
        <w:t>sporów na tle ubezpieczeń OC posiadaczy pojazdów mechanicznych z tytułu wypadków komunikacyjnych.</w:t>
      </w:r>
    </w:p>
    <w:p w14:paraId="513D5A5F" w14:textId="147F3407" w:rsidR="00AD6D79" w:rsidRDefault="00A337AB" w:rsidP="00F937AE">
      <w:pPr>
        <w:spacing w:line="360" w:lineRule="auto"/>
        <w:ind w:firstLine="708"/>
        <w:jc w:val="both"/>
      </w:pPr>
      <w:r w:rsidRPr="00226ED0">
        <w:t xml:space="preserve">W </w:t>
      </w:r>
      <w:r w:rsidR="00A15069" w:rsidRPr="00226ED0">
        <w:t>kolejnym</w:t>
      </w:r>
      <w:r w:rsidRPr="00226ED0">
        <w:t xml:space="preserve"> wystąpieniu pt. </w:t>
      </w:r>
      <w:r w:rsidR="00A15069" w:rsidRPr="00226ED0">
        <w:rPr>
          <w:i/>
          <w:iCs/>
        </w:rPr>
        <w:t xml:space="preserve">Zadośćuczynienie z tytułu śmierci osoby najbliższej w orzecznictwie sądów powszechnych </w:t>
      </w:r>
      <w:r w:rsidRPr="00226ED0">
        <w:rPr>
          <w:i/>
          <w:iCs/>
        </w:rPr>
        <w:t xml:space="preserve">– </w:t>
      </w:r>
      <w:r w:rsidR="00A15069" w:rsidRPr="00226ED0">
        <w:rPr>
          <w:i/>
          <w:iCs/>
        </w:rPr>
        <w:t xml:space="preserve">raport </w:t>
      </w:r>
      <w:r w:rsidRPr="00226ED0">
        <w:rPr>
          <w:i/>
          <w:iCs/>
        </w:rPr>
        <w:t xml:space="preserve">z badań empirycznych, </w:t>
      </w:r>
      <w:r w:rsidRPr="00226ED0">
        <w:t xml:space="preserve">sędzia dr </w:t>
      </w:r>
      <w:r w:rsidR="00A15069" w:rsidRPr="00226ED0">
        <w:t xml:space="preserve">hab. </w:t>
      </w:r>
      <w:r w:rsidRPr="00226ED0">
        <w:t>Paweł Zdanikowski</w:t>
      </w:r>
      <w:r w:rsidR="00A15069" w:rsidRPr="00226ED0">
        <w:t xml:space="preserve"> </w:t>
      </w:r>
      <w:r w:rsidRPr="00226ED0">
        <w:t xml:space="preserve">przedstawił </w:t>
      </w:r>
      <w:r w:rsidR="007E54EE">
        <w:t xml:space="preserve">sprawozdanie z realizacji projektu badawczego oraz </w:t>
      </w:r>
      <w:r w:rsidRPr="00226ED0">
        <w:t xml:space="preserve">wyniki badań </w:t>
      </w:r>
      <w:r w:rsidR="00226ED0" w:rsidRPr="00226ED0">
        <w:t>aktowych spraw o zadośćuczynienie spowodowane śmiercią osoby najbliższej</w:t>
      </w:r>
      <w:r w:rsidR="00AE601C">
        <w:t xml:space="preserve">, w trakcie których poddano analizie 2323 powództwa, w których wyrok w I instancji zapadł nie wcześniej niż w 2015 roku. Omówione zostały kwoty żądanego zadośćuczynienia oraz kwoty wypłacone powodom poza badanym postępowaniem, strony postępowań, stopień pokrewieństwa ze zmarłym w badanych sprawach, wiek powoda i zmarłego, przyczyny śmierci i podstawy prawne dochodzonych roszczeń, stopień bliskości relacji, więzi między powodem a zmarłym, szczególne okoliczności towarzyszące śmierci i przeżywaniu żałoby, przyczynienie się zmarłego, liczba i rodzaj dopuszczanych opinii biegłych, daty początkowe naliczania odsetek, zaskarżalność orzeczeń sądów I instancji oraz rozstrzygnięcia sądów odwoławczych, a także przedstawione zostały mediany zasądzanych kwot zadośćuczynień w poszczególnych apelacjach. </w:t>
      </w:r>
    </w:p>
    <w:p w14:paraId="48EEBDF1" w14:textId="7CA97569" w:rsidR="00226ED0" w:rsidRDefault="00E45CCA" w:rsidP="00F937AE">
      <w:pPr>
        <w:spacing w:line="360" w:lineRule="auto"/>
        <w:ind w:firstLine="708"/>
        <w:jc w:val="both"/>
      </w:pPr>
      <w:r>
        <w:t xml:space="preserve">W ostatnim </w:t>
      </w:r>
      <w:r w:rsidR="00226ED0" w:rsidRPr="00362223">
        <w:t>wystąpieni</w:t>
      </w:r>
      <w:r>
        <w:t>u w panelu</w:t>
      </w:r>
      <w:r w:rsidR="00D64F72" w:rsidRPr="00D64F72">
        <w:t xml:space="preserve"> dr Małgorzat</w:t>
      </w:r>
      <w:r>
        <w:t>a</w:t>
      </w:r>
      <w:r w:rsidR="00D64F72" w:rsidRPr="00D64F72">
        <w:t xml:space="preserve"> Torój (KUL)</w:t>
      </w:r>
      <w:r w:rsidR="00226ED0" w:rsidRPr="00362223">
        <w:t xml:space="preserve"> oraz</w:t>
      </w:r>
      <w:r w:rsidR="00D64F72" w:rsidRPr="00D64F72">
        <w:t xml:space="preserve"> </w:t>
      </w:r>
      <w:r w:rsidR="00D64F72" w:rsidRPr="00362223">
        <w:t>Karolin</w:t>
      </w:r>
      <w:r>
        <w:t>a</w:t>
      </w:r>
      <w:r w:rsidR="00D64F72" w:rsidRPr="00362223">
        <w:t xml:space="preserve"> Andrys</w:t>
      </w:r>
      <w:r>
        <w:t xml:space="preserve"> zaprezentowały </w:t>
      </w:r>
      <w:r w:rsidR="00226ED0" w:rsidRPr="00362223">
        <w:t>narzędzi</w:t>
      </w:r>
      <w:r w:rsidR="00362223">
        <w:t>a</w:t>
      </w:r>
      <w:r w:rsidR="00226ED0" w:rsidRPr="00362223">
        <w:t xml:space="preserve"> informatyczne wspierające orzekanie o wysokości zadośćuczynienia z tytułu śmierci osoby najbliższej</w:t>
      </w:r>
      <w:r w:rsidR="00362223">
        <w:t xml:space="preserve"> oraz </w:t>
      </w:r>
      <w:r>
        <w:t xml:space="preserve">ustalanie </w:t>
      </w:r>
      <w:r w:rsidR="00362223">
        <w:t>wartości przyczynienia się do śmierci w odniesieniu do wybranych przyczyn</w:t>
      </w:r>
      <w:r>
        <w:t xml:space="preserve">, </w:t>
      </w:r>
      <w:r w:rsidRPr="00E45CCA">
        <w:t>które powstał</w:t>
      </w:r>
      <w:r>
        <w:t>y</w:t>
      </w:r>
      <w:r w:rsidRPr="00E45CCA">
        <w:t xml:space="preserve"> w ramach projektu i został</w:t>
      </w:r>
      <w:r>
        <w:t>y</w:t>
      </w:r>
      <w:r w:rsidRPr="00E45CCA">
        <w:t xml:space="preserve"> opracowane w całości przez Dział Badań i Analiz Krajowej Szkoł</w:t>
      </w:r>
      <w:r>
        <w:t>y.</w:t>
      </w:r>
    </w:p>
    <w:p w14:paraId="606C7A9B" w14:textId="6E14A9C3" w:rsidR="00E45CCA" w:rsidRPr="00226ED0" w:rsidRDefault="00E45CCA" w:rsidP="00F937AE">
      <w:pPr>
        <w:spacing w:line="360" w:lineRule="auto"/>
        <w:ind w:firstLine="708"/>
        <w:jc w:val="both"/>
      </w:pPr>
      <w:r w:rsidRPr="00362223">
        <w:lastRenderedPageBreak/>
        <w:t>Tę część obrad konferencyjnych zamknęł</w:t>
      </w:r>
      <w:r>
        <w:t>a dyskusja plenarna, w trakcie której uczestnicy konferencji wykazali istotne zainteresowanie narzędziami oraz pozytywnie odnieśli się do ich użyteczności w procesie standaryzacji.</w:t>
      </w:r>
    </w:p>
    <w:p w14:paraId="6F76B91F" w14:textId="6EFBAA3C" w:rsidR="00B65089" w:rsidRDefault="00F4401E" w:rsidP="00F4401E">
      <w:pPr>
        <w:spacing w:line="360" w:lineRule="auto"/>
        <w:ind w:firstLine="708"/>
        <w:jc w:val="both"/>
      </w:pPr>
      <w:r w:rsidRPr="00F4401E">
        <w:t>Trzecia część konferencji, moderowana przez sędziego dr. Michała Kłosa, objęła dyskusję panelową, w trakcie której sędzia dr Arkadiusz Sadza, sędzia dr Marcin Dudzik, sędzia dr Leszek Jantowski oraz radca prawny Łukasz Wilma z Polskiej Izby Ubezpieczeń rozważali, czy standaryzacja wysokości zadośćuczynień z tytułu śmierci osoby najbliższej jest potrzeba oraz możliwa</w:t>
      </w:r>
      <w:r w:rsidR="00B65089">
        <w:t xml:space="preserve">, czy wykorzystanie do tego celu zaprezentowanych narzędzi informatycznych może przynieść pożądane rezultaty, a także poddali refleksji aspekty procesowe stosowania narzędzia, jak i prób </w:t>
      </w:r>
      <w:r w:rsidR="00DB66AC">
        <w:t xml:space="preserve">samej </w:t>
      </w:r>
      <w:r w:rsidR="00B65089">
        <w:t xml:space="preserve">standaryzacji. </w:t>
      </w:r>
      <w:proofErr w:type="spellStart"/>
      <w:r w:rsidR="00B65089">
        <w:t>Paneliści</w:t>
      </w:r>
      <w:proofErr w:type="spellEnd"/>
      <w:r w:rsidR="00B65089">
        <w:t xml:space="preserve"> </w:t>
      </w:r>
      <w:r w:rsidR="00B65089" w:rsidRPr="00B65089">
        <w:t xml:space="preserve">zgodnie stwierdzili, że w świetle aktualnego, znacznego zróżnicowania zasądzanych w zbliżonych stanach faktycznych kwot z tego tytułu, podjęcie próby standaryzacji jest pożądane, choć nie stanowi to prostego zadania. </w:t>
      </w:r>
      <w:r w:rsidR="00004094">
        <w:t>Podkreślili,</w:t>
      </w:r>
      <w:r w:rsidR="005C3B15">
        <w:t xml:space="preserve"> że instytucję zadośćuczynienia za śmierć osoby najbliższej</w:t>
      </w:r>
      <w:r w:rsidR="00004094">
        <w:t xml:space="preserve"> </w:t>
      </w:r>
      <w:r w:rsidR="00004094" w:rsidRPr="00004094">
        <w:rPr>
          <w:i/>
        </w:rPr>
        <w:t xml:space="preserve">per </w:t>
      </w:r>
      <w:proofErr w:type="spellStart"/>
      <w:r w:rsidR="00004094" w:rsidRPr="00004094">
        <w:rPr>
          <w:i/>
        </w:rPr>
        <w:t>se</w:t>
      </w:r>
      <w:proofErr w:type="spellEnd"/>
      <w:r w:rsidR="005C3B15">
        <w:t xml:space="preserve"> postrzegać należy jako element rozwoju prawa. </w:t>
      </w:r>
      <w:r w:rsidR="00004094">
        <w:t>Wskazali</w:t>
      </w:r>
      <w:r w:rsidR="00B65089">
        <w:t xml:space="preserve">, że dla utrzymania funkcjonowania narzędzia niezbędne jest dalsze jego rozwijanie, uzupełnianie bazy orzeczeń, a także utrzymanie niezależności narzędzia od podmiotów zewnętrznych. </w:t>
      </w:r>
      <w:r w:rsidR="00004094">
        <w:t xml:space="preserve">W ocenie </w:t>
      </w:r>
      <w:proofErr w:type="spellStart"/>
      <w:r w:rsidR="00004094">
        <w:t>panelistów</w:t>
      </w:r>
      <w:proofErr w:type="spellEnd"/>
      <w:r w:rsidR="00004094">
        <w:t xml:space="preserve"> </w:t>
      </w:r>
      <w:r w:rsidR="00C76922">
        <w:t>narzędzie może stanowić nieocenioną pomoc w codziennej pracy orzeczniczej, szczególnie dla nowo powołanych asesorów i sędziów, dzięki możliwości szybkiego odfiltrowania spraw o zbliżonych okolicznościach faktycznych.</w:t>
      </w:r>
      <w:r w:rsidR="00004094">
        <w:t xml:space="preserve"> </w:t>
      </w:r>
      <w:r w:rsidR="00A60D9C">
        <w:t>Zwrócili uwagę</w:t>
      </w:r>
      <w:r w:rsidR="00A60D9C" w:rsidRPr="00A60D9C">
        <w:t>,</w:t>
      </w:r>
      <w:r w:rsidR="00A60D9C">
        <w:t xml:space="preserve"> że</w:t>
      </w:r>
      <w:r w:rsidR="00A60D9C" w:rsidRPr="00A60D9C">
        <w:t xml:space="preserve"> potencjalnymi odbiorcami narzędzia będą nie tylko sędziowie orzekający w sprawach o zadośćuczynienie za krzywdę spowodowaną śmiercią osoby najbliższej, lecz także ubezpieczyciele, pełnomocnicy i strony postępowań. Powszechność narzędzia sprawi, że osoba zainteresowana będzie mogła uzyskać informacje jak w podobnych sprawach, przy podobnych przesłankach kształtowały się zasądzane kwoty, czego pozytywnym skutkiem może być zwiększenie przewidywalności wyroków oraz liczby zawieranych ugód. </w:t>
      </w:r>
      <w:r w:rsidR="00004094">
        <w:t>Brak jest bowiem podstaw do różnicowania wysokości zasądzanych zadośćuczynień wyłącznie przez pryzmat linii orzeczniczej danego sądu odwoławczego.</w:t>
      </w:r>
      <w:r w:rsidR="00C76922">
        <w:t xml:space="preserve"> </w:t>
      </w:r>
      <w:r w:rsidR="00004094">
        <w:t>N</w:t>
      </w:r>
      <w:r w:rsidR="00B65089" w:rsidRPr="00B65089">
        <w:t xml:space="preserve">ależy mieć </w:t>
      </w:r>
      <w:r w:rsidR="00004094">
        <w:t xml:space="preserve">jednak </w:t>
      </w:r>
      <w:r w:rsidR="00B65089" w:rsidRPr="00B65089">
        <w:t xml:space="preserve">także na uwadze, że w części spraw występują szczególne okoliczności towarzyszące śmierci lub przeżywaniu żałoby, czy też inny niż typowy dla danej relacji stopień bliskości między zmarłym a powodem. W takich sprawach, indywidualne ustalenie wysokości zadośćuczynienia za doznaną krzywdę przez skład orzekający jest zasadniczą kwestią. </w:t>
      </w:r>
    </w:p>
    <w:p w14:paraId="1CD81D08" w14:textId="47BEBAC1" w:rsidR="00B03B9A" w:rsidRPr="00B45293" w:rsidRDefault="00F4401E" w:rsidP="00B45293">
      <w:pPr>
        <w:spacing w:line="360" w:lineRule="auto"/>
        <w:ind w:firstLine="708"/>
        <w:jc w:val="both"/>
      </w:pPr>
      <w:r w:rsidRPr="00F4401E">
        <w:t>Po zakończeniu tej części konferencji otwarto dyskusję plenarną</w:t>
      </w:r>
      <w:r w:rsidR="00A60D9C">
        <w:t xml:space="preserve">, po której zakończeniu </w:t>
      </w:r>
      <w:r w:rsidR="00A60D9C" w:rsidRPr="00585F1C">
        <w:t>dr hab. Maria Joanna Gondek</w:t>
      </w:r>
      <w:r w:rsidR="00A60D9C">
        <w:t xml:space="preserve">, Zastępca </w:t>
      </w:r>
      <w:r w:rsidR="00A60D9C" w:rsidRPr="00A60D9C">
        <w:t xml:space="preserve">Dyrektora Krajowej Szkoły Sądownictwa i Prokuratury kierujący Ośrodkiem Szkolenia Ustawicznego i Współpracy Międzynarodowej podsumowała </w:t>
      </w:r>
      <w:r w:rsidR="00DB66AC">
        <w:t xml:space="preserve">i zamknęła </w:t>
      </w:r>
      <w:r w:rsidR="00A60D9C" w:rsidRPr="00A60D9C">
        <w:t>konferencję, dziękując jej uczestnikom za</w:t>
      </w:r>
      <w:r w:rsidR="00DB66AC">
        <w:t xml:space="preserve"> udział</w:t>
      </w:r>
      <w:r w:rsidR="00A60D9C" w:rsidRPr="00A60D9C">
        <w:t>.</w:t>
      </w:r>
      <w:r w:rsidR="00A60D9C">
        <w:t xml:space="preserve"> </w:t>
      </w:r>
    </w:p>
    <w:sectPr w:rsidR="00B03B9A" w:rsidRPr="00B45293" w:rsidSect="00823B33">
      <w:footerReference w:type="even" r:id="rId7"/>
      <w:footerReference w:type="default" r:id="rId8"/>
      <w:pgSz w:w="11900" w:h="16840"/>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C8F56" w14:textId="77777777" w:rsidR="00AC73B2" w:rsidRDefault="00AC73B2" w:rsidP="00C17D22">
      <w:r>
        <w:separator/>
      </w:r>
    </w:p>
  </w:endnote>
  <w:endnote w:type="continuationSeparator" w:id="0">
    <w:p w14:paraId="3C8D7EB1" w14:textId="77777777" w:rsidR="00AC73B2" w:rsidRDefault="00AC73B2" w:rsidP="00C1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892269548"/>
      <w:docPartObj>
        <w:docPartGallery w:val="Page Numbers (Bottom of Page)"/>
        <w:docPartUnique/>
      </w:docPartObj>
    </w:sdtPr>
    <w:sdtEndPr>
      <w:rPr>
        <w:rStyle w:val="Numerstrony"/>
      </w:rPr>
    </w:sdtEndPr>
    <w:sdtContent>
      <w:p w14:paraId="1142E54D" w14:textId="56325EBA" w:rsidR="00641689" w:rsidRDefault="00641689" w:rsidP="00694D00">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0150BBD7" w14:textId="77777777" w:rsidR="00641689" w:rsidRDefault="006416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67171" w:themeColor="background2" w:themeShade="80"/>
      </w:rPr>
      <w:id w:val="-1851792259"/>
      <w:docPartObj>
        <w:docPartGallery w:val="Page Numbers (Bottom of Page)"/>
        <w:docPartUnique/>
      </w:docPartObj>
    </w:sdtPr>
    <w:sdtEndPr/>
    <w:sdtContent>
      <w:sdt>
        <w:sdtPr>
          <w:rPr>
            <w:color w:val="767171" w:themeColor="background2" w:themeShade="80"/>
          </w:rPr>
          <w:id w:val="-1769616900"/>
          <w:docPartObj>
            <w:docPartGallery w:val="Page Numbers (Top of Page)"/>
            <w:docPartUnique/>
          </w:docPartObj>
        </w:sdtPr>
        <w:sdtEndPr/>
        <w:sdtContent>
          <w:p w14:paraId="6AACF5A3" w14:textId="43FB2BC2" w:rsidR="00EB63C2" w:rsidRPr="00EB63C2" w:rsidRDefault="00EB63C2">
            <w:pPr>
              <w:pStyle w:val="Stopka"/>
              <w:jc w:val="right"/>
              <w:rPr>
                <w:color w:val="767171" w:themeColor="background2" w:themeShade="80"/>
              </w:rPr>
            </w:pPr>
            <w:r w:rsidRPr="00EB63C2">
              <w:rPr>
                <w:color w:val="767171" w:themeColor="background2" w:themeShade="80"/>
              </w:rPr>
              <w:t xml:space="preserve">Strona </w:t>
            </w:r>
            <w:r w:rsidRPr="00EB63C2">
              <w:rPr>
                <w:b/>
                <w:bCs/>
                <w:color w:val="767171" w:themeColor="background2" w:themeShade="80"/>
              </w:rPr>
              <w:fldChar w:fldCharType="begin"/>
            </w:r>
            <w:r w:rsidRPr="00EB63C2">
              <w:rPr>
                <w:b/>
                <w:bCs/>
                <w:color w:val="767171" w:themeColor="background2" w:themeShade="80"/>
              </w:rPr>
              <w:instrText>PAGE</w:instrText>
            </w:r>
            <w:r w:rsidRPr="00EB63C2">
              <w:rPr>
                <w:b/>
                <w:bCs/>
                <w:color w:val="767171" w:themeColor="background2" w:themeShade="80"/>
              </w:rPr>
              <w:fldChar w:fldCharType="separate"/>
            </w:r>
            <w:r w:rsidRPr="00EB63C2">
              <w:rPr>
                <w:b/>
                <w:bCs/>
                <w:color w:val="767171" w:themeColor="background2" w:themeShade="80"/>
              </w:rPr>
              <w:t>2</w:t>
            </w:r>
            <w:r w:rsidRPr="00EB63C2">
              <w:rPr>
                <w:b/>
                <w:bCs/>
                <w:color w:val="767171" w:themeColor="background2" w:themeShade="80"/>
              </w:rPr>
              <w:fldChar w:fldCharType="end"/>
            </w:r>
            <w:r w:rsidRPr="00EB63C2">
              <w:rPr>
                <w:color w:val="767171" w:themeColor="background2" w:themeShade="80"/>
              </w:rPr>
              <w:t xml:space="preserve"> z </w:t>
            </w:r>
            <w:r w:rsidRPr="00EB63C2">
              <w:rPr>
                <w:b/>
                <w:bCs/>
                <w:color w:val="767171" w:themeColor="background2" w:themeShade="80"/>
              </w:rPr>
              <w:fldChar w:fldCharType="begin"/>
            </w:r>
            <w:r w:rsidRPr="00EB63C2">
              <w:rPr>
                <w:b/>
                <w:bCs/>
                <w:color w:val="767171" w:themeColor="background2" w:themeShade="80"/>
              </w:rPr>
              <w:instrText>NUMPAGES</w:instrText>
            </w:r>
            <w:r w:rsidRPr="00EB63C2">
              <w:rPr>
                <w:b/>
                <w:bCs/>
                <w:color w:val="767171" w:themeColor="background2" w:themeShade="80"/>
              </w:rPr>
              <w:fldChar w:fldCharType="separate"/>
            </w:r>
            <w:r w:rsidRPr="00EB63C2">
              <w:rPr>
                <w:b/>
                <w:bCs/>
                <w:color w:val="767171" w:themeColor="background2" w:themeShade="80"/>
              </w:rPr>
              <w:t>2</w:t>
            </w:r>
            <w:r w:rsidRPr="00EB63C2">
              <w:rPr>
                <w:b/>
                <w:bCs/>
                <w:color w:val="767171" w:themeColor="background2" w:themeShade="80"/>
              </w:rPr>
              <w:fldChar w:fldCharType="end"/>
            </w:r>
          </w:p>
        </w:sdtContent>
      </w:sdt>
    </w:sdtContent>
  </w:sdt>
  <w:p w14:paraId="70BEC1EC" w14:textId="77777777" w:rsidR="00641689" w:rsidRPr="00EB63C2" w:rsidRDefault="00641689">
    <w:pPr>
      <w:pStyle w:val="Stopka"/>
      <w:rPr>
        <w:color w:val="767171" w:themeColor="background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692E8" w14:textId="77777777" w:rsidR="00AC73B2" w:rsidRDefault="00AC73B2" w:rsidP="00C17D22">
      <w:r>
        <w:separator/>
      </w:r>
    </w:p>
  </w:footnote>
  <w:footnote w:type="continuationSeparator" w:id="0">
    <w:p w14:paraId="683C1B62" w14:textId="77777777" w:rsidR="00AC73B2" w:rsidRDefault="00AC73B2" w:rsidP="00C17D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B33"/>
    <w:rsid w:val="00003CA4"/>
    <w:rsid w:val="00004094"/>
    <w:rsid w:val="00020917"/>
    <w:rsid w:val="00021016"/>
    <w:rsid w:val="00024B98"/>
    <w:rsid w:val="000455FA"/>
    <w:rsid w:val="000520AF"/>
    <w:rsid w:val="0007685E"/>
    <w:rsid w:val="000A5972"/>
    <w:rsid w:val="000A640F"/>
    <w:rsid w:val="000C21F4"/>
    <w:rsid w:val="000C2827"/>
    <w:rsid w:val="001039D4"/>
    <w:rsid w:val="001135FD"/>
    <w:rsid w:val="001211C5"/>
    <w:rsid w:val="001430FE"/>
    <w:rsid w:val="001747A8"/>
    <w:rsid w:val="001D2F9D"/>
    <w:rsid w:val="001E2CD9"/>
    <w:rsid w:val="002012A1"/>
    <w:rsid w:val="00203E25"/>
    <w:rsid w:val="00226ED0"/>
    <w:rsid w:val="00234FC6"/>
    <w:rsid w:val="002730EE"/>
    <w:rsid w:val="002A2F8C"/>
    <w:rsid w:val="002B2844"/>
    <w:rsid w:val="002B78A6"/>
    <w:rsid w:val="002C16F4"/>
    <w:rsid w:val="002C6E71"/>
    <w:rsid w:val="002D5A8E"/>
    <w:rsid w:val="002E11C0"/>
    <w:rsid w:val="003054E9"/>
    <w:rsid w:val="0031565C"/>
    <w:rsid w:val="00346BB7"/>
    <w:rsid w:val="00356664"/>
    <w:rsid w:val="00362223"/>
    <w:rsid w:val="00362DC5"/>
    <w:rsid w:val="0036411B"/>
    <w:rsid w:val="0036541E"/>
    <w:rsid w:val="0038684D"/>
    <w:rsid w:val="0039236A"/>
    <w:rsid w:val="003A5856"/>
    <w:rsid w:val="003B0717"/>
    <w:rsid w:val="003B0C99"/>
    <w:rsid w:val="003B68BF"/>
    <w:rsid w:val="003D0AAD"/>
    <w:rsid w:val="003E22FA"/>
    <w:rsid w:val="00401BCF"/>
    <w:rsid w:val="0041161D"/>
    <w:rsid w:val="00413C64"/>
    <w:rsid w:val="0046321F"/>
    <w:rsid w:val="00464FA0"/>
    <w:rsid w:val="00495F2B"/>
    <w:rsid w:val="004A1EAB"/>
    <w:rsid w:val="004A2F3A"/>
    <w:rsid w:val="004A7C1C"/>
    <w:rsid w:val="004B069F"/>
    <w:rsid w:val="004B0FFD"/>
    <w:rsid w:val="004C6E37"/>
    <w:rsid w:val="004D1E7C"/>
    <w:rsid w:val="004E037C"/>
    <w:rsid w:val="004F31A4"/>
    <w:rsid w:val="00511C8E"/>
    <w:rsid w:val="00515C15"/>
    <w:rsid w:val="00521CA3"/>
    <w:rsid w:val="0055253A"/>
    <w:rsid w:val="00552F21"/>
    <w:rsid w:val="0055322C"/>
    <w:rsid w:val="00561EB9"/>
    <w:rsid w:val="0057009F"/>
    <w:rsid w:val="00571A91"/>
    <w:rsid w:val="00585F1C"/>
    <w:rsid w:val="005A2E03"/>
    <w:rsid w:val="005C2998"/>
    <w:rsid w:val="005C3B15"/>
    <w:rsid w:val="005C4337"/>
    <w:rsid w:val="005D234A"/>
    <w:rsid w:val="00610A92"/>
    <w:rsid w:val="00635CC9"/>
    <w:rsid w:val="00641689"/>
    <w:rsid w:val="006658A3"/>
    <w:rsid w:val="00686FAD"/>
    <w:rsid w:val="00691780"/>
    <w:rsid w:val="006A139F"/>
    <w:rsid w:val="006A480E"/>
    <w:rsid w:val="006B2134"/>
    <w:rsid w:val="006D371D"/>
    <w:rsid w:val="006D450F"/>
    <w:rsid w:val="006D6562"/>
    <w:rsid w:val="006F459C"/>
    <w:rsid w:val="00714518"/>
    <w:rsid w:val="0072380B"/>
    <w:rsid w:val="00763447"/>
    <w:rsid w:val="00771869"/>
    <w:rsid w:val="007A4E7B"/>
    <w:rsid w:val="007B3E99"/>
    <w:rsid w:val="007B680E"/>
    <w:rsid w:val="007D6AAB"/>
    <w:rsid w:val="007E54EE"/>
    <w:rsid w:val="007E5F29"/>
    <w:rsid w:val="00823B33"/>
    <w:rsid w:val="0084300D"/>
    <w:rsid w:val="00846CFC"/>
    <w:rsid w:val="008519A8"/>
    <w:rsid w:val="008649E0"/>
    <w:rsid w:val="00880620"/>
    <w:rsid w:val="008D2AA4"/>
    <w:rsid w:val="00912B23"/>
    <w:rsid w:val="0092483E"/>
    <w:rsid w:val="009258E8"/>
    <w:rsid w:val="009320B0"/>
    <w:rsid w:val="00941CDF"/>
    <w:rsid w:val="00954F9D"/>
    <w:rsid w:val="00974E0F"/>
    <w:rsid w:val="00984D65"/>
    <w:rsid w:val="009A114E"/>
    <w:rsid w:val="009B4956"/>
    <w:rsid w:val="00A15069"/>
    <w:rsid w:val="00A324F8"/>
    <w:rsid w:val="00A337AB"/>
    <w:rsid w:val="00A60D9C"/>
    <w:rsid w:val="00A92BC2"/>
    <w:rsid w:val="00AC73B2"/>
    <w:rsid w:val="00AD0549"/>
    <w:rsid w:val="00AD1EAC"/>
    <w:rsid w:val="00AD6D79"/>
    <w:rsid w:val="00AE601C"/>
    <w:rsid w:val="00B03B9A"/>
    <w:rsid w:val="00B11123"/>
    <w:rsid w:val="00B1250D"/>
    <w:rsid w:val="00B20021"/>
    <w:rsid w:val="00B2631E"/>
    <w:rsid w:val="00B37E19"/>
    <w:rsid w:val="00B45293"/>
    <w:rsid w:val="00B57E0E"/>
    <w:rsid w:val="00B65089"/>
    <w:rsid w:val="00B82B44"/>
    <w:rsid w:val="00B94F6F"/>
    <w:rsid w:val="00BA3881"/>
    <w:rsid w:val="00BC17DB"/>
    <w:rsid w:val="00BF5706"/>
    <w:rsid w:val="00C17D22"/>
    <w:rsid w:val="00C3385F"/>
    <w:rsid w:val="00C357D6"/>
    <w:rsid w:val="00C3638B"/>
    <w:rsid w:val="00C57AEA"/>
    <w:rsid w:val="00C66BC3"/>
    <w:rsid w:val="00C76922"/>
    <w:rsid w:val="00D228A8"/>
    <w:rsid w:val="00D2635D"/>
    <w:rsid w:val="00D64F3A"/>
    <w:rsid w:val="00D64F72"/>
    <w:rsid w:val="00D71E63"/>
    <w:rsid w:val="00D83625"/>
    <w:rsid w:val="00DB66AC"/>
    <w:rsid w:val="00DE5BD7"/>
    <w:rsid w:val="00DF1464"/>
    <w:rsid w:val="00E3413C"/>
    <w:rsid w:val="00E45CCA"/>
    <w:rsid w:val="00E501D0"/>
    <w:rsid w:val="00E84BA3"/>
    <w:rsid w:val="00EB5B9E"/>
    <w:rsid w:val="00EB63C2"/>
    <w:rsid w:val="00EC49C6"/>
    <w:rsid w:val="00ED1838"/>
    <w:rsid w:val="00F02DCD"/>
    <w:rsid w:val="00F03FF8"/>
    <w:rsid w:val="00F37B4B"/>
    <w:rsid w:val="00F417EB"/>
    <w:rsid w:val="00F4401E"/>
    <w:rsid w:val="00F66DCC"/>
    <w:rsid w:val="00F77676"/>
    <w:rsid w:val="00F82DC0"/>
    <w:rsid w:val="00F8790F"/>
    <w:rsid w:val="00F937AE"/>
    <w:rsid w:val="00FB16F8"/>
    <w:rsid w:val="00FB4173"/>
    <w:rsid w:val="00FE0692"/>
    <w:rsid w:val="00FE6923"/>
    <w:rsid w:val="00FF37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4F23"/>
  <w15:chartTrackingRefBased/>
  <w15:docId w15:val="{48287F25-BC6F-BF40-9411-02BE47AC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17D22"/>
    <w:pPr>
      <w:tabs>
        <w:tab w:val="center" w:pos="4536"/>
        <w:tab w:val="right" w:pos="9072"/>
      </w:tabs>
    </w:pPr>
  </w:style>
  <w:style w:type="character" w:customStyle="1" w:styleId="StopkaZnak">
    <w:name w:val="Stopka Znak"/>
    <w:basedOn w:val="Domylnaczcionkaakapitu"/>
    <w:link w:val="Stopka"/>
    <w:uiPriority w:val="99"/>
    <w:rsid w:val="00C17D22"/>
  </w:style>
  <w:style w:type="character" w:styleId="Numerstrony">
    <w:name w:val="page number"/>
    <w:basedOn w:val="Domylnaczcionkaakapitu"/>
    <w:uiPriority w:val="99"/>
    <w:semiHidden/>
    <w:unhideWhenUsed/>
    <w:rsid w:val="00C17D22"/>
  </w:style>
  <w:style w:type="character" w:styleId="Odwoaniedokomentarza">
    <w:name w:val="annotation reference"/>
    <w:basedOn w:val="Domylnaczcionkaakapitu"/>
    <w:uiPriority w:val="99"/>
    <w:semiHidden/>
    <w:unhideWhenUsed/>
    <w:rsid w:val="001039D4"/>
    <w:rPr>
      <w:sz w:val="16"/>
      <w:szCs w:val="16"/>
    </w:rPr>
  </w:style>
  <w:style w:type="paragraph" w:styleId="Tekstkomentarza">
    <w:name w:val="annotation text"/>
    <w:basedOn w:val="Normalny"/>
    <w:link w:val="TekstkomentarzaZnak"/>
    <w:uiPriority w:val="99"/>
    <w:semiHidden/>
    <w:unhideWhenUsed/>
    <w:rsid w:val="001039D4"/>
    <w:rPr>
      <w:sz w:val="20"/>
      <w:szCs w:val="20"/>
    </w:rPr>
  </w:style>
  <w:style w:type="character" w:customStyle="1" w:styleId="TekstkomentarzaZnak">
    <w:name w:val="Tekst komentarza Znak"/>
    <w:basedOn w:val="Domylnaczcionkaakapitu"/>
    <w:link w:val="Tekstkomentarza"/>
    <w:uiPriority w:val="99"/>
    <w:semiHidden/>
    <w:rsid w:val="001039D4"/>
    <w:rPr>
      <w:sz w:val="20"/>
      <w:szCs w:val="20"/>
    </w:rPr>
  </w:style>
  <w:style w:type="paragraph" w:styleId="Tematkomentarza">
    <w:name w:val="annotation subject"/>
    <w:basedOn w:val="Tekstkomentarza"/>
    <w:next w:val="Tekstkomentarza"/>
    <w:link w:val="TematkomentarzaZnak"/>
    <w:uiPriority w:val="99"/>
    <w:semiHidden/>
    <w:unhideWhenUsed/>
    <w:rsid w:val="001039D4"/>
    <w:rPr>
      <w:b/>
      <w:bCs/>
    </w:rPr>
  </w:style>
  <w:style w:type="character" w:customStyle="1" w:styleId="TematkomentarzaZnak">
    <w:name w:val="Temat komentarza Znak"/>
    <w:basedOn w:val="TekstkomentarzaZnak"/>
    <w:link w:val="Tematkomentarza"/>
    <w:uiPriority w:val="99"/>
    <w:semiHidden/>
    <w:rsid w:val="001039D4"/>
    <w:rPr>
      <w:b/>
      <w:bCs/>
      <w:sz w:val="20"/>
      <w:szCs w:val="20"/>
    </w:rPr>
  </w:style>
  <w:style w:type="paragraph" w:styleId="Tekstdymka">
    <w:name w:val="Balloon Text"/>
    <w:basedOn w:val="Normalny"/>
    <w:link w:val="TekstdymkaZnak"/>
    <w:uiPriority w:val="99"/>
    <w:semiHidden/>
    <w:unhideWhenUsed/>
    <w:rsid w:val="001039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39D4"/>
    <w:rPr>
      <w:rFonts w:ascii="Segoe UI" w:hAnsi="Segoe UI" w:cs="Segoe UI"/>
      <w:sz w:val="18"/>
      <w:szCs w:val="18"/>
    </w:rPr>
  </w:style>
  <w:style w:type="paragraph" w:styleId="Poprawka">
    <w:name w:val="Revision"/>
    <w:hidden/>
    <w:uiPriority w:val="99"/>
    <w:semiHidden/>
    <w:rsid w:val="00B2631E"/>
  </w:style>
  <w:style w:type="paragraph" w:styleId="Tekstprzypisudolnego">
    <w:name w:val="footnote text"/>
    <w:basedOn w:val="Normalny"/>
    <w:link w:val="TekstprzypisudolnegoZnak"/>
    <w:uiPriority w:val="99"/>
    <w:semiHidden/>
    <w:unhideWhenUsed/>
    <w:rsid w:val="00D71E63"/>
    <w:rPr>
      <w:sz w:val="20"/>
      <w:szCs w:val="20"/>
    </w:rPr>
  </w:style>
  <w:style w:type="character" w:customStyle="1" w:styleId="TekstprzypisudolnegoZnak">
    <w:name w:val="Tekst przypisu dolnego Znak"/>
    <w:basedOn w:val="Domylnaczcionkaakapitu"/>
    <w:link w:val="Tekstprzypisudolnego"/>
    <w:uiPriority w:val="99"/>
    <w:semiHidden/>
    <w:rsid w:val="00D71E63"/>
    <w:rPr>
      <w:sz w:val="20"/>
      <w:szCs w:val="20"/>
    </w:rPr>
  </w:style>
  <w:style w:type="character" w:styleId="Odwoanieprzypisudolnego">
    <w:name w:val="footnote reference"/>
    <w:basedOn w:val="Domylnaczcionkaakapitu"/>
    <w:uiPriority w:val="99"/>
    <w:semiHidden/>
    <w:unhideWhenUsed/>
    <w:rsid w:val="00D71E63"/>
    <w:rPr>
      <w:vertAlign w:val="superscript"/>
    </w:rPr>
  </w:style>
  <w:style w:type="paragraph" w:styleId="Nagwek">
    <w:name w:val="header"/>
    <w:basedOn w:val="Normalny"/>
    <w:link w:val="NagwekZnak"/>
    <w:uiPriority w:val="99"/>
    <w:unhideWhenUsed/>
    <w:rsid w:val="000C21F4"/>
    <w:pPr>
      <w:tabs>
        <w:tab w:val="center" w:pos="4536"/>
        <w:tab w:val="right" w:pos="9072"/>
      </w:tabs>
    </w:pPr>
  </w:style>
  <w:style w:type="character" w:customStyle="1" w:styleId="NagwekZnak">
    <w:name w:val="Nagłówek Znak"/>
    <w:basedOn w:val="Domylnaczcionkaakapitu"/>
    <w:link w:val="Nagwek"/>
    <w:uiPriority w:val="99"/>
    <w:rsid w:val="000C21F4"/>
  </w:style>
  <w:style w:type="paragraph" w:styleId="NormalnyWeb">
    <w:name w:val="Normal (Web)"/>
    <w:basedOn w:val="Normalny"/>
    <w:uiPriority w:val="99"/>
    <w:unhideWhenUsed/>
    <w:rsid w:val="006F459C"/>
    <w:pPr>
      <w:spacing w:before="100" w:beforeAutospacing="1" w:after="100" w:afterAutospacing="1"/>
    </w:pPr>
    <w:rPr>
      <w:rFonts w:eastAsia="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914061">
      <w:bodyDiv w:val="1"/>
      <w:marLeft w:val="0"/>
      <w:marRight w:val="0"/>
      <w:marTop w:val="0"/>
      <w:marBottom w:val="0"/>
      <w:divBdr>
        <w:top w:val="none" w:sz="0" w:space="0" w:color="auto"/>
        <w:left w:val="none" w:sz="0" w:space="0" w:color="auto"/>
        <w:bottom w:val="none" w:sz="0" w:space="0" w:color="auto"/>
        <w:right w:val="none" w:sz="0" w:space="0" w:color="auto"/>
      </w:divBdr>
      <w:divsChild>
        <w:div w:id="471483241">
          <w:marLeft w:val="0"/>
          <w:marRight w:val="0"/>
          <w:marTop w:val="0"/>
          <w:marBottom w:val="0"/>
          <w:divBdr>
            <w:top w:val="none" w:sz="0" w:space="0" w:color="auto"/>
            <w:left w:val="none" w:sz="0" w:space="0" w:color="auto"/>
            <w:bottom w:val="none" w:sz="0" w:space="0" w:color="auto"/>
            <w:right w:val="none" w:sz="0" w:space="0" w:color="auto"/>
          </w:divBdr>
        </w:div>
        <w:div w:id="718284881">
          <w:marLeft w:val="0"/>
          <w:marRight w:val="0"/>
          <w:marTop w:val="0"/>
          <w:marBottom w:val="0"/>
          <w:divBdr>
            <w:top w:val="none" w:sz="0" w:space="0" w:color="auto"/>
            <w:left w:val="none" w:sz="0" w:space="0" w:color="auto"/>
            <w:bottom w:val="none" w:sz="0" w:space="0" w:color="auto"/>
            <w:right w:val="none" w:sz="0" w:space="0" w:color="auto"/>
          </w:divBdr>
        </w:div>
        <w:div w:id="1358315659">
          <w:marLeft w:val="0"/>
          <w:marRight w:val="0"/>
          <w:marTop w:val="0"/>
          <w:marBottom w:val="0"/>
          <w:divBdr>
            <w:top w:val="none" w:sz="0" w:space="0" w:color="auto"/>
            <w:left w:val="none" w:sz="0" w:space="0" w:color="auto"/>
            <w:bottom w:val="none" w:sz="0" w:space="0" w:color="auto"/>
            <w:right w:val="none" w:sz="0" w:space="0" w:color="auto"/>
          </w:divBdr>
        </w:div>
      </w:divsChild>
    </w:div>
    <w:div w:id="1579364369">
      <w:bodyDiv w:val="1"/>
      <w:marLeft w:val="0"/>
      <w:marRight w:val="0"/>
      <w:marTop w:val="0"/>
      <w:marBottom w:val="0"/>
      <w:divBdr>
        <w:top w:val="none" w:sz="0" w:space="0" w:color="auto"/>
        <w:left w:val="none" w:sz="0" w:space="0" w:color="auto"/>
        <w:bottom w:val="none" w:sz="0" w:space="0" w:color="auto"/>
        <w:right w:val="none" w:sz="0" w:space="0" w:color="auto"/>
      </w:divBdr>
    </w:div>
    <w:div w:id="1668706837">
      <w:bodyDiv w:val="1"/>
      <w:marLeft w:val="0"/>
      <w:marRight w:val="0"/>
      <w:marTop w:val="0"/>
      <w:marBottom w:val="0"/>
      <w:divBdr>
        <w:top w:val="none" w:sz="0" w:space="0" w:color="auto"/>
        <w:left w:val="none" w:sz="0" w:space="0" w:color="auto"/>
        <w:bottom w:val="none" w:sz="0" w:space="0" w:color="auto"/>
        <w:right w:val="none" w:sz="0" w:space="0" w:color="auto"/>
      </w:divBdr>
    </w:div>
    <w:div w:id="205418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D5B24-57E0-4A2B-BA8F-218936AA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2340</Words>
  <Characters>14041</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Rafał Nozdryn-Płotnicki</cp:lastModifiedBy>
  <cp:revision>7</cp:revision>
  <cp:lastPrinted>2023-06-30T10:10:00Z</cp:lastPrinted>
  <dcterms:created xsi:type="dcterms:W3CDTF">2023-07-10T12:24:00Z</dcterms:created>
  <dcterms:modified xsi:type="dcterms:W3CDTF">2023-07-11T09:23:00Z</dcterms:modified>
</cp:coreProperties>
</file>