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04549">
        <w:rPr>
          <w:rFonts w:ascii="Bookman Old Style" w:hAnsi="Bookman Old Style"/>
        </w:rPr>
        <w:t>175.</w:t>
      </w:r>
      <w:r w:rsidR="00B1654E">
        <w:rPr>
          <w:rFonts w:ascii="Bookman Old Style" w:hAnsi="Bookman Old Style"/>
        </w:rPr>
        <w:t>12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B1654E">
        <w:rPr>
          <w:rFonts w:ascii="Bookman Old Style" w:hAnsi="Bookman Old Style"/>
        </w:rPr>
        <w:t>23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B1654E">
        <w:rPr>
          <w:rFonts w:ascii="Bookman Old Style" w:hAnsi="Bookman Old Style"/>
          <w:b/>
        </w:rPr>
        <w:t>K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01406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B1654E">
        <w:rPr>
          <w:rFonts w:ascii="Bookman Old Style" w:hAnsi="Bookman Old Style"/>
          <w:bCs/>
        </w:rPr>
        <w:t>wrocławskiego</w:t>
      </w:r>
    </w:p>
    <w:p w:rsidR="00A62D5F" w:rsidRPr="009406B1" w:rsidRDefault="0001406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1406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1406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1406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1406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B1654E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25 maja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Prokuratur Regionalna we Wrocławiu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14069">
        <w:rPr>
          <w:rFonts w:ascii="Bookman Old Style" w:hAnsi="Bookman Old Style"/>
        </w:rPr>
        <w:t>ul. Marszałka J. Piłsudskiego 76/78</w:t>
      </w:r>
    </w:p>
    <w:p w:rsidR="00A62D5F" w:rsidRDefault="00014069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50-020 Wrocław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014069">
        <w:rPr>
          <w:rFonts w:ascii="Bookman Old Style" w:hAnsi="Bookman Old Style"/>
        </w:rPr>
        <w:t>konferencyjna</w:t>
      </w:r>
    </w:p>
    <w:p w:rsidR="00A62D5F" w:rsidRDefault="0001406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1406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01406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1406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01406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1406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014069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A1465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014069">
        <w:rPr>
          <w:rFonts w:ascii="Bookman Old Style" w:hAnsi="Bookman Old Style"/>
          <w:b/>
        </w:rPr>
        <w:t>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014069">
        <w:rPr>
          <w:rFonts w:ascii="Bookman Old Style" w:hAnsi="Bookman Old Style"/>
          <w:b/>
        </w:rPr>
        <w:t>25 maja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014069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014069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14069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B165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cp:lastPrinted>2017-12-12T11:45:00Z</cp:lastPrinted>
  <dcterms:created xsi:type="dcterms:W3CDTF">2017-12-05T06:37:00Z</dcterms:created>
  <dcterms:modified xsi:type="dcterms:W3CDTF">2018-01-23T10:45:00Z</dcterms:modified>
</cp:coreProperties>
</file>