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133B0">
        <w:rPr>
          <w:rFonts w:ascii="Bookman Old Style" w:hAnsi="Bookman Old Style"/>
        </w:rPr>
        <w:t>175.9.2017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B133B0">
        <w:rPr>
          <w:rFonts w:ascii="Bookman Old Style" w:hAnsi="Bookman Old Style"/>
        </w:rPr>
        <w:t>10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B133B0" w:rsidRPr="00B133B0">
        <w:rPr>
          <w:rFonts w:ascii="Bookman Old Style" w:hAnsi="Bookman Old Style"/>
          <w:b/>
        </w:rPr>
        <w:t>H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0A146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>regionu rzeszowskiego</w:t>
      </w:r>
    </w:p>
    <w:p w:rsidR="00A62D5F" w:rsidRPr="009406B1" w:rsidRDefault="000A146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A146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A146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0A146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A146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0A1465" w:rsidP="00A62D5F">
      <w:pPr>
        <w:spacing w:line="276" w:lineRule="auto"/>
        <w:rPr>
          <w:rFonts w:ascii="Bookman Old Style" w:hAnsi="Bookman Old Style"/>
          <w:caps/>
        </w:rPr>
      </w:pPr>
      <w:r w:rsidRPr="000A1465">
        <w:rPr>
          <w:rFonts w:ascii="Bookman Old Style" w:hAnsi="Bookman Old Style"/>
          <w:b/>
        </w:rPr>
        <w:t xml:space="preserve">06 kwietnia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Okręgowa w Rzeszowie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>ul. Hetmańska 45 d</w:t>
      </w:r>
    </w:p>
    <w:p w:rsidR="00A62D5F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35-078 Rzeszów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31</w:t>
      </w:r>
    </w:p>
    <w:p w:rsidR="00A62D5F" w:rsidRDefault="000A146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A146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0A146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A146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0A1465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A1465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0A1465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0A1465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bookmarkStart w:id="0" w:name="_GoBack"/>
      <w:bookmarkEnd w:id="0"/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06 kwietnia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0A1465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0A1465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22</cp:revision>
  <cp:lastPrinted>2017-12-12T11:45:00Z</cp:lastPrinted>
  <dcterms:created xsi:type="dcterms:W3CDTF">2017-12-05T06:37:00Z</dcterms:created>
  <dcterms:modified xsi:type="dcterms:W3CDTF">2018-01-10T09:49:00Z</dcterms:modified>
</cp:coreProperties>
</file>