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3544B8">
        <w:rPr>
          <w:rFonts w:ascii="Bookman Old Style" w:hAnsi="Bookman Old Style"/>
        </w:rPr>
        <w:t>175.7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BF0D4E">
        <w:rPr>
          <w:rFonts w:ascii="Bookman Old Style" w:hAnsi="Bookman Old Style"/>
        </w:rPr>
        <w:t>24</w:t>
      </w:r>
      <w:r w:rsidR="00B133B0">
        <w:rPr>
          <w:rFonts w:ascii="Bookman Old Style" w:hAnsi="Bookman Old Style"/>
        </w:rPr>
        <w:t xml:space="preserve">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3544B8">
        <w:rPr>
          <w:rFonts w:ascii="Bookman Old Style" w:hAnsi="Bookman Old Style"/>
          <w:b/>
        </w:rPr>
        <w:t>F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3544B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 xml:space="preserve">regionu </w:t>
      </w:r>
      <w:r w:rsidR="003544B8">
        <w:rPr>
          <w:rFonts w:ascii="Bookman Old Style" w:hAnsi="Bookman Old Style"/>
          <w:bCs/>
        </w:rPr>
        <w:t>łódzkiego</w:t>
      </w:r>
    </w:p>
    <w:p w:rsidR="00A62D5F" w:rsidRPr="009406B1" w:rsidRDefault="003544B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3544B8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544B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544B8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544B8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3544B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09 listopada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BF0D4E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Regionalna w Łodzi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 xml:space="preserve">ul. </w:t>
      </w:r>
      <w:r w:rsidR="003544B8">
        <w:rPr>
          <w:rFonts w:ascii="Bookman Old Style" w:hAnsi="Bookman Old Style"/>
        </w:rPr>
        <w:t>Piotrkowska 151</w:t>
      </w:r>
    </w:p>
    <w:p w:rsidR="00A62D5F" w:rsidRDefault="003544B8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Łódź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3544B8">
        <w:rPr>
          <w:rFonts w:ascii="Bookman Old Style" w:hAnsi="Bookman Old Style"/>
        </w:rPr>
        <w:t>wykładowa</w:t>
      </w:r>
    </w:p>
    <w:p w:rsidR="00A62D5F" w:rsidRDefault="003544B8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544B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3544B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3544B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3544B8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3544B8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3544B8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BF0D4E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</w:t>
      </w:r>
      <w:r w:rsidR="003544B8">
        <w:rPr>
          <w:rFonts w:ascii="Bookman Old Style" w:hAnsi="Bookman Old Style"/>
          <w:b/>
        </w:rPr>
        <w:t>09</w:t>
      </w:r>
      <w:bookmarkStart w:id="0" w:name="_GoBack"/>
      <w:bookmarkEnd w:id="0"/>
      <w:r w:rsidR="003544B8">
        <w:rPr>
          <w:rFonts w:ascii="Bookman Old Style" w:hAnsi="Bookman Old Style"/>
          <w:b/>
        </w:rPr>
        <w:t xml:space="preserve"> listopada</w:t>
      </w:r>
      <w:r w:rsidR="000A1465"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3544B8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3544B8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3544B8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BF0D4E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25</cp:revision>
  <cp:lastPrinted>2017-12-12T11:45:00Z</cp:lastPrinted>
  <dcterms:created xsi:type="dcterms:W3CDTF">2017-12-05T06:37:00Z</dcterms:created>
  <dcterms:modified xsi:type="dcterms:W3CDTF">2018-01-24T08:50:00Z</dcterms:modified>
</cp:coreProperties>
</file>