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04549">
        <w:rPr>
          <w:rFonts w:ascii="Bookman Old Style" w:hAnsi="Bookman Old Style"/>
        </w:rPr>
        <w:t>175.6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004549">
        <w:rPr>
          <w:rFonts w:ascii="Bookman Old Style" w:hAnsi="Bookman Old Style"/>
        </w:rPr>
        <w:t>16</w:t>
      </w:r>
      <w:r w:rsidR="00B133B0">
        <w:rPr>
          <w:rFonts w:ascii="Bookman Old Style" w:hAnsi="Bookman Old Style"/>
        </w:rPr>
        <w:t xml:space="preserve">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004549">
        <w:rPr>
          <w:rFonts w:ascii="Bookman Old Style" w:hAnsi="Bookman Old Style"/>
          <w:b/>
        </w:rPr>
        <w:t>E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00454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 xml:space="preserve">regionu </w:t>
      </w:r>
      <w:r w:rsidR="00004549">
        <w:rPr>
          <w:rFonts w:ascii="Bookman Old Style" w:hAnsi="Bookman Old Style"/>
          <w:bCs/>
        </w:rPr>
        <w:t>lubelskiego</w:t>
      </w:r>
    </w:p>
    <w:p w:rsidR="00A62D5F" w:rsidRPr="009406B1" w:rsidRDefault="0000454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0454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0454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00454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0454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004549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23</w:t>
      </w:r>
      <w:r w:rsidR="000A1465" w:rsidRPr="000A1465">
        <w:rPr>
          <w:rFonts w:ascii="Bookman Old Style" w:hAnsi="Bookman Old Style"/>
          <w:b/>
        </w:rPr>
        <w:t xml:space="preserve"> kwietnia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 xml:space="preserve">ul. </w:t>
      </w:r>
      <w:r w:rsidR="00004549">
        <w:rPr>
          <w:rFonts w:ascii="Bookman Old Style" w:hAnsi="Bookman Old Style"/>
        </w:rPr>
        <w:t>Krakowskie Przedmieście 62</w:t>
      </w:r>
    </w:p>
    <w:p w:rsidR="00A62D5F" w:rsidRDefault="00004549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</w:t>
      </w:r>
      <w:r w:rsidR="00004549">
        <w:rPr>
          <w:rFonts w:ascii="Bookman Old Style" w:hAnsi="Bookman Old Style"/>
        </w:rPr>
        <w:t>1.20 aula</w:t>
      </w:r>
    </w:p>
    <w:p w:rsidR="00A62D5F" w:rsidRDefault="0000454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0454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00454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0454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004549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04549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004549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0A1465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004549">
        <w:rPr>
          <w:rFonts w:ascii="Bookman Old Style" w:hAnsi="Bookman Old Style"/>
          <w:b/>
        </w:rPr>
        <w:t>oniedziałek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004549">
        <w:rPr>
          <w:rFonts w:ascii="Bookman Old Style" w:hAnsi="Bookman Old Style"/>
          <w:b/>
        </w:rPr>
        <w:t>23</w:t>
      </w:r>
      <w:bookmarkStart w:id="0" w:name="_GoBack"/>
      <w:bookmarkEnd w:id="0"/>
      <w:r>
        <w:rPr>
          <w:rFonts w:ascii="Bookman Old Style" w:hAnsi="Bookman Old Style"/>
          <w:b/>
        </w:rPr>
        <w:t xml:space="preserve"> kwietnia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004549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004549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23</cp:revision>
  <cp:lastPrinted>2017-12-12T11:45:00Z</cp:lastPrinted>
  <dcterms:created xsi:type="dcterms:W3CDTF">2017-12-05T06:37:00Z</dcterms:created>
  <dcterms:modified xsi:type="dcterms:W3CDTF">2018-01-16T10:38:00Z</dcterms:modified>
</cp:coreProperties>
</file>