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8A6D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OSU-III-401-114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>
        <w:rPr>
          <w:rFonts w:ascii="Bookman Old Style" w:hAnsi="Bookman Old Style"/>
        </w:rPr>
        <w:t xml:space="preserve"> 04</w:t>
      </w:r>
      <w:r w:rsidR="00780E9E">
        <w:rPr>
          <w:rFonts w:ascii="Bookman Old Style" w:hAnsi="Bookman Old Style"/>
        </w:rPr>
        <w:t xml:space="preserve">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8A6D32">
        <w:rPr>
          <w:rFonts w:ascii="Bookman Old Style" w:hAnsi="Bookman Old Style"/>
        </w:rPr>
        <w:t>D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8A6D3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8A6D3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8A6D3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A6D3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8A6D3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8A6D3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Default="001A07F3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8A6D32">
        <w:rPr>
          <w:rFonts w:ascii="Bookman Old Style" w:hAnsi="Bookman Old Style"/>
        </w:rPr>
        <w:t>7</w:t>
      </w:r>
      <w:r w:rsidR="00780E9E">
        <w:rPr>
          <w:rFonts w:ascii="Bookman Old Style" w:hAnsi="Bookman Old Style"/>
        </w:rPr>
        <w:t xml:space="preserve"> kwietnia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</w:r>
      <w:r w:rsidR="008A6D32">
        <w:rPr>
          <w:rFonts w:ascii="Bookman Old Style" w:hAnsi="Bookman Old Style"/>
        </w:rPr>
        <w:t>Krakowa Szkoła Sądownictwa i Prokuratury</w:t>
      </w:r>
    </w:p>
    <w:p w:rsidR="008A6D32" w:rsidRDefault="008A6D3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Przy Rondzie 5</w:t>
      </w:r>
    </w:p>
    <w:p w:rsidR="008A6D32" w:rsidRDefault="008A6D32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8A6D32" w:rsidRPr="007D03E0" w:rsidRDefault="008A6D32" w:rsidP="008A6D3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Aula</w:t>
      </w:r>
    </w:p>
    <w:p w:rsidR="000A78A4" w:rsidRPr="009406B1" w:rsidRDefault="008A6D3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A6D3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8A6D3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8A6D32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8A6D32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8A6D32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8A6D3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8A6D3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8A6D3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Środa          </w:t>
      </w:r>
      <w:r w:rsidR="000A78A4" w:rsidRPr="00780E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27</w:t>
      </w:r>
      <w:r w:rsidR="00780E9E" w:rsidRPr="00780E9E">
        <w:rPr>
          <w:rFonts w:ascii="Bookman Old Style" w:hAnsi="Bookman Old Style"/>
        </w:rPr>
        <w:t xml:space="preserve"> kwietnia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8A6D32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8A6D32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8A6D3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8A6D32">
        <w:rPr>
          <w:rFonts w:ascii="Bookman Old Style" w:hAnsi="Bookman Old Style"/>
          <w:sz w:val="20"/>
          <w:szCs w:val="20"/>
        </w:rPr>
        <w:t>28</w:t>
      </w:r>
      <w:r w:rsidR="00780E9E">
        <w:rPr>
          <w:rFonts w:ascii="Bookman Old Style" w:hAnsi="Bookman Old Style"/>
          <w:sz w:val="20"/>
          <w:szCs w:val="20"/>
        </w:rPr>
        <w:t xml:space="preserve">.04.2016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8A6D32">
        <w:rPr>
          <w:rFonts w:ascii="Bookman Old Style" w:hAnsi="Bookman Old Style"/>
          <w:sz w:val="20"/>
          <w:szCs w:val="20"/>
        </w:rPr>
        <w:t xml:space="preserve"> 28</w:t>
      </w:r>
      <w:bookmarkStart w:id="0" w:name="_GoBack"/>
      <w:bookmarkEnd w:id="0"/>
      <w:r w:rsidR="00780E9E">
        <w:rPr>
          <w:rFonts w:ascii="Bookman Old Style" w:hAnsi="Bookman Old Style"/>
          <w:sz w:val="20"/>
          <w:szCs w:val="20"/>
        </w:rPr>
        <w:t>.05.2016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8A6D32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A07F3"/>
    <w:rsid w:val="001E667A"/>
    <w:rsid w:val="002B3C50"/>
    <w:rsid w:val="002B7231"/>
    <w:rsid w:val="00341DC2"/>
    <w:rsid w:val="003D61AB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A6D32"/>
    <w:rsid w:val="008D634D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10</cp:revision>
  <cp:lastPrinted>2016-02-04T10:44:00Z</cp:lastPrinted>
  <dcterms:created xsi:type="dcterms:W3CDTF">2016-01-28T11:55:00Z</dcterms:created>
  <dcterms:modified xsi:type="dcterms:W3CDTF">2016-02-04T10:46:00Z</dcterms:modified>
</cp:coreProperties>
</file>