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AC21787" wp14:editId="130D7DD2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683034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Default="00C049C7" w:rsidP="00262C30">
      <w:pPr>
        <w:tabs>
          <w:tab w:val="left" w:pos="5670"/>
        </w:tabs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262BBF">
        <w:rPr>
          <w:rFonts w:ascii="Bookman Old Style" w:hAnsi="Bookman Old Style"/>
          <w:b/>
        </w:rPr>
        <w:t>401</w:t>
      </w:r>
      <w:r w:rsidR="00DF4E4A" w:rsidRPr="00683034">
        <w:rPr>
          <w:rFonts w:ascii="Bookman Old Style" w:hAnsi="Bookman Old Style"/>
          <w:b/>
        </w:rPr>
        <w:t xml:space="preserve"> – </w:t>
      </w:r>
      <w:r w:rsidR="004C0FB5">
        <w:rPr>
          <w:rFonts w:ascii="Bookman Old Style" w:hAnsi="Bookman Old Style"/>
          <w:b/>
        </w:rPr>
        <w:t>7</w:t>
      </w:r>
      <w:r w:rsidR="00DF4E4A"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>Lublin,</w:t>
      </w:r>
      <w:r w:rsidR="00C679E7">
        <w:rPr>
          <w:rFonts w:ascii="Bookman Old Style" w:hAnsi="Bookman Old Style"/>
          <w:b/>
        </w:rPr>
        <w:t xml:space="preserve"> 19</w:t>
      </w:r>
      <w:r w:rsidR="00AD2BE8">
        <w:rPr>
          <w:rFonts w:ascii="Bookman Old Style" w:hAnsi="Bookman Old Style"/>
          <w:b/>
        </w:rPr>
        <w:t xml:space="preserve"> </w:t>
      </w:r>
      <w:r w:rsidR="00A17048">
        <w:rPr>
          <w:rFonts w:ascii="Bookman Old Style" w:hAnsi="Bookman Old Style"/>
          <w:b/>
        </w:rPr>
        <w:t>li</w:t>
      </w:r>
      <w:r w:rsidR="00262C30">
        <w:rPr>
          <w:rFonts w:ascii="Bookman Old Style" w:hAnsi="Bookman Old Style"/>
          <w:b/>
        </w:rPr>
        <w:t xml:space="preserve">stopada </w:t>
      </w:r>
      <w:r w:rsidR="00DF4E4A"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2853D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B83848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A17048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</w:t>
      </w:r>
      <w:r w:rsidR="00321BFB">
        <w:rPr>
          <w:rFonts w:ascii="Bookman Old Style" w:hAnsi="Bookman Old Style"/>
          <w:b/>
          <w:sz w:val="26"/>
          <w:szCs w:val="26"/>
        </w:rPr>
        <w:t xml:space="preserve">DLA SĘDZIÓW </w:t>
      </w:r>
      <w:r w:rsidR="00A17048">
        <w:rPr>
          <w:rFonts w:ascii="Bookman Old Style" w:hAnsi="Bookman Old Style"/>
          <w:b/>
          <w:sz w:val="26"/>
          <w:szCs w:val="26"/>
        </w:rPr>
        <w:t xml:space="preserve">ORZEKAJĄCYCH W SPRAWACH </w:t>
      </w:r>
      <w:r w:rsidR="0081506E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Z ZAKRESU PRAWA CYWILNEGO, GOSPODARCZEGO, RODZINNEGO </w:t>
      </w:r>
      <w:r w:rsidR="00CE3808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I NIELETNICH ORAZ PRACY I UBEZPIECZEŃ SPOŁECZNYCH </w:t>
      </w:r>
      <w:r w:rsidR="004C0FB5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>W SĄDACH WSZYSTKICH SZCZEBLI</w:t>
      </w:r>
      <w:r w:rsidR="00947472">
        <w:rPr>
          <w:rFonts w:ascii="Bookman Old Style" w:hAnsi="Bookman Old Style"/>
          <w:b/>
          <w:sz w:val="26"/>
          <w:szCs w:val="26"/>
        </w:rPr>
        <w:t>,</w:t>
      </w:r>
      <w:r w:rsidR="00A17048">
        <w:rPr>
          <w:rFonts w:ascii="Bookman Old Style" w:hAnsi="Bookman Old Style"/>
          <w:b/>
          <w:sz w:val="26"/>
          <w:szCs w:val="26"/>
        </w:rPr>
        <w:t xml:space="preserve"> </w:t>
      </w:r>
      <w:r w:rsidR="00947472">
        <w:rPr>
          <w:rFonts w:ascii="Bookman Old Style" w:hAnsi="Bookman Old Style"/>
          <w:b/>
          <w:sz w:val="26"/>
          <w:szCs w:val="26"/>
        </w:rPr>
        <w:t xml:space="preserve">REFERENDARZY SĄDOWYCH </w:t>
      </w:r>
      <w:r w:rsidR="00A17048">
        <w:rPr>
          <w:rFonts w:ascii="Bookman Old Style" w:hAnsi="Bookman Old Style"/>
          <w:b/>
          <w:sz w:val="26"/>
          <w:szCs w:val="26"/>
        </w:rPr>
        <w:t xml:space="preserve">ORAZ ASYSTENTÓW SĘDZIÓW </w:t>
      </w:r>
      <w:r w:rsidR="00CE3808">
        <w:rPr>
          <w:rFonts w:ascii="Bookman Old Style" w:hAnsi="Bookman Old Style"/>
          <w:b/>
          <w:sz w:val="26"/>
          <w:szCs w:val="26"/>
        </w:rPr>
        <w:br/>
        <w:t xml:space="preserve">Z OBSZARU APELACJI </w:t>
      </w:r>
      <w:r w:rsidR="0081506E">
        <w:rPr>
          <w:rFonts w:ascii="Bookman Old Style" w:hAnsi="Bookman Old Style"/>
          <w:b/>
          <w:sz w:val="26"/>
          <w:szCs w:val="26"/>
        </w:rPr>
        <w:t>K</w:t>
      </w:r>
      <w:r w:rsidR="004C0FB5">
        <w:rPr>
          <w:rFonts w:ascii="Bookman Old Style" w:hAnsi="Bookman Old Style"/>
          <w:b/>
          <w:sz w:val="26"/>
          <w:szCs w:val="26"/>
        </w:rPr>
        <w:t>RAKOWSKIEJ</w:t>
      </w:r>
    </w:p>
    <w:p w:rsidR="00524A03" w:rsidRPr="00683034" w:rsidRDefault="00262C30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4 grudnia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4C0FB5">
        <w:rPr>
          <w:rFonts w:ascii="Bookman Old Style" w:hAnsi="Bookman Old Style"/>
          <w:b/>
          <w:sz w:val="32"/>
          <w:szCs w:val="32"/>
        </w:rPr>
        <w:t>Kraków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E803F8">
        <w:rPr>
          <w:rFonts w:ascii="Bookman Old Style" w:hAnsi="Bookman Old Style"/>
          <w:b/>
          <w:sz w:val="32"/>
          <w:szCs w:val="32"/>
        </w:rPr>
        <w:t>1</w:t>
      </w:r>
      <w:r w:rsidR="00A17048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4C0FB5">
        <w:rPr>
          <w:rFonts w:ascii="Bookman Old Style" w:hAnsi="Bookman Old Style"/>
          <w:b/>
          <w:sz w:val="32"/>
          <w:szCs w:val="32"/>
        </w:rPr>
        <w:t>C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683034" w:rsidRDefault="00B83848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BE48E7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683034" w:rsidRDefault="00B83848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B83848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Pr="002F48DA" w:rsidRDefault="00A17048" w:rsidP="00321BFB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Ekonomia i finanse dla sędziów</w:t>
      </w:r>
    </w:p>
    <w:p w:rsidR="00321BFB" w:rsidRDefault="00321BFB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A17048" w:rsidRDefault="00A17048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321BFB" w:rsidRPr="0041420C" w:rsidRDefault="00321BFB" w:rsidP="00A17048">
      <w:pPr>
        <w:spacing w:before="120"/>
        <w:jc w:val="both"/>
        <w:rPr>
          <w:rFonts w:ascii="Bookman Old Style" w:hAnsi="Bookman Old Style"/>
          <w:i/>
          <w:sz w:val="26"/>
          <w:szCs w:val="26"/>
          <w:u w:val="single"/>
        </w:rPr>
      </w:pPr>
      <w:r w:rsidRPr="0041420C">
        <w:rPr>
          <w:rFonts w:ascii="Bookman Old Style" w:hAnsi="Bookman Old Style"/>
          <w:i/>
          <w:sz w:val="26"/>
          <w:szCs w:val="26"/>
          <w:u w:val="single"/>
        </w:rPr>
        <w:t>T</w:t>
      </w:r>
      <w:r w:rsidR="002F48DA" w:rsidRPr="0041420C">
        <w:rPr>
          <w:rFonts w:ascii="Bookman Old Style" w:hAnsi="Bookman Old Style"/>
          <w:i/>
          <w:sz w:val="26"/>
          <w:szCs w:val="26"/>
          <w:u w:val="single"/>
        </w:rPr>
        <w:t>EMATYKA SZCZEGÓŁOWA</w:t>
      </w:r>
      <w:r w:rsidRPr="0041420C">
        <w:rPr>
          <w:rFonts w:ascii="Bookman Old Style" w:hAnsi="Bookman Old Style"/>
          <w:i/>
          <w:sz w:val="26"/>
          <w:szCs w:val="26"/>
          <w:u w:val="single"/>
        </w:rPr>
        <w:t>:</w:t>
      </w:r>
    </w:p>
    <w:p w:rsidR="00321BFB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Ocena stanu majątkowego przedsiębiorstwa, niewypłacalność, utrata płynności finansowej w kontekście wniosku o zwolnienie od kosztów sądowych</w:t>
      </w:r>
      <w:r w:rsidR="00113FFD">
        <w:rPr>
          <w:rFonts w:ascii="Bookman Old Style" w:hAnsi="Bookman Old Style"/>
          <w:i/>
          <w:sz w:val="26"/>
          <w:szCs w:val="26"/>
        </w:rPr>
        <w:t>.</w:t>
      </w:r>
    </w:p>
    <w:p w:rsidR="00113FFD" w:rsidRDefault="00113FFD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P</w:t>
      </w:r>
      <w:r w:rsidRPr="0041420C">
        <w:rPr>
          <w:rFonts w:ascii="Bookman Old Style" w:hAnsi="Bookman Old Style"/>
          <w:i/>
          <w:sz w:val="26"/>
          <w:szCs w:val="26"/>
        </w:rPr>
        <w:t>rzesłanki odpowiedzialności członków zarządu w trybie 299 KSH</w:t>
      </w:r>
      <w:r>
        <w:rPr>
          <w:rFonts w:ascii="Bookman Old Style" w:hAnsi="Bookman Old Style"/>
          <w:i/>
          <w:sz w:val="26"/>
          <w:szCs w:val="26"/>
        </w:rPr>
        <w:t>.</w:t>
      </w:r>
    </w:p>
    <w:p w:rsidR="00A17048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P</w:t>
      </w:r>
      <w:r w:rsidR="00113FFD">
        <w:rPr>
          <w:rFonts w:ascii="Bookman Old Style" w:hAnsi="Bookman Old Style"/>
          <w:i/>
          <w:sz w:val="26"/>
          <w:szCs w:val="26"/>
        </w:rPr>
        <w:t>odstawy do zgłoszenia upadłości.</w: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113FFD" w:rsidRPr="00BE48E7" w:rsidRDefault="00113FFD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2853DA" w:rsidRPr="00683034" w:rsidRDefault="00C679E7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C679E7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4C0FB5" w:rsidRPr="00683034" w:rsidRDefault="00262C30" w:rsidP="004C0FB5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4 grudnia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A17048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81506E" w:rsidRPr="00813E18">
        <w:rPr>
          <w:rFonts w:ascii="Bookman Old Style" w:hAnsi="Bookman Old Style"/>
          <w:b/>
          <w:bCs/>
        </w:rPr>
        <w:t>Sąd Apelacyjny w K</w:t>
      </w:r>
      <w:r w:rsidR="004C0FB5">
        <w:rPr>
          <w:rFonts w:ascii="Bookman Old Style" w:hAnsi="Bookman Old Style"/>
          <w:b/>
          <w:bCs/>
        </w:rPr>
        <w:t>rakowie</w:t>
      </w:r>
      <w:r w:rsidR="004C0FB5">
        <w:rPr>
          <w:rFonts w:ascii="Bookman Old Style" w:hAnsi="Bookman Old Style"/>
          <w:b/>
        </w:rPr>
        <w:br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 w:rsidRPr="00683034">
        <w:rPr>
          <w:rFonts w:ascii="Bookman Old Style" w:hAnsi="Bookman Old Style"/>
          <w:b/>
          <w:bCs/>
        </w:rPr>
        <w:t>ul. Przy Rondzie 3</w:t>
      </w:r>
      <w:r w:rsidR="004C0FB5">
        <w:rPr>
          <w:rFonts w:ascii="Bookman Old Style" w:hAnsi="Bookman Old Style"/>
          <w:b/>
        </w:rPr>
        <w:br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>
        <w:rPr>
          <w:rFonts w:ascii="Bookman Old Style" w:hAnsi="Bookman Old Style"/>
          <w:b/>
        </w:rPr>
        <w:tab/>
      </w:r>
      <w:r w:rsidR="004C0FB5" w:rsidRPr="00683034">
        <w:rPr>
          <w:rFonts w:ascii="Bookman Old Style" w:hAnsi="Bookman Old Style"/>
          <w:b/>
          <w:bCs/>
        </w:rPr>
        <w:t>31-547 Kraków</w:t>
      </w:r>
    </w:p>
    <w:p w:rsidR="004C0FB5" w:rsidRPr="00683034" w:rsidRDefault="004C0FB5" w:rsidP="004C0FB5">
      <w:pPr>
        <w:tabs>
          <w:tab w:val="left" w:pos="-180"/>
        </w:tabs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56633B">
        <w:rPr>
          <w:rFonts w:ascii="Bookman Old Style" w:hAnsi="Bookman Old Style"/>
          <w:b/>
          <w:bCs/>
        </w:rPr>
        <w:t xml:space="preserve">Sala </w:t>
      </w:r>
      <w:r>
        <w:rPr>
          <w:rFonts w:ascii="Bookman Old Style" w:hAnsi="Bookman Old Style"/>
          <w:b/>
          <w:bCs/>
        </w:rPr>
        <w:t xml:space="preserve">konferencyjna </w:t>
      </w:r>
      <w:r w:rsidRPr="0056633B">
        <w:rPr>
          <w:rFonts w:ascii="Bookman Old Style" w:hAnsi="Bookman Old Style"/>
          <w:b/>
          <w:bCs/>
        </w:rPr>
        <w:t xml:space="preserve">nr </w:t>
      </w:r>
      <w:r>
        <w:rPr>
          <w:rFonts w:ascii="Bookman Old Style" w:hAnsi="Bookman Old Style"/>
          <w:b/>
          <w:bCs/>
        </w:rPr>
        <w:t>1</w:t>
      </w:r>
      <w:r w:rsidRPr="0056633B"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  <w:b/>
          <w:bCs/>
        </w:rPr>
        <w:t>0</w:t>
      </w:r>
      <w:r w:rsidRPr="0056633B">
        <w:rPr>
          <w:rFonts w:ascii="Bookman Old Style" w:hAnsi="Bookman Old Style"/>
          <w:b/>
          <w:bCs/>
        </w:rPr>
        <w:t>1</w:t>
      </w:r>
    </w:p>
    <w:p w:rsidR="002853DA" w:rsidRDefault="002853DA" w:rsidP="004C0FB5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</w:p>
    <w:p w:rsidR="00A17048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A17048" w:rsidRPr="002853DA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DF4E4A" w:rsidRPr="00683034" w:rsidRDefault="00C679E7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C679E7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81506E" w:rsidRPr="00683034" w:rsidRDefault="0081506E" w:rsidP="00963942">
      <w:pPr>
        <w:spacing w:before="60"/>
        <w:jc w:val="both"/>
        <w:rPr>
          <w:rFonts w:ascii="Bookman Old Style" w:hAnsi="Bookman Old Style"/>
          <w:b/>
        </w:rPr>
      </w:pPr>
    </w:p>
    <w:p w:rsidR="00A17048" w:rsidRDefault="00A17048" w:rsidP="00745A67">
      <w:pPr>
        <w:spacing w:before="60"/>
        <w:jc w:val="both"/>
        <w:rPr>
          <w:rFonts w:ascii="Bookman Old Style" w:hAnsi="Bookman Old Style"/>
          <w:b/>
          <w:u w:val="single"/>
        </w:rPr>
      </w:pPr>
    </w:p>
    <w:p w:rsidR="00443923" w:rsidRPr="00745A67" w:rsidRDefault="00C679E7" w:rsidP="00745A6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C679E7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86060C" w:rsidRPr="00683034" w:rsidRDefault="0086060C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876629" w:rsidRDefault="00443923" w:rsidP="00876629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</w:t>
      </w:r>
      <w:r w:rsidR="00A17048">
        <w:rPr>
          <w:rFonts w:ascii="Bookman Old Style" w:hAnsi="Bookman Old Style" w:cs="Bookman Old Style"/>
          <w:bCs/>
          <w:color w:val="000000"/>
        </w:rPr>
        <w:t xml:space="preserve">Oliwia </w:t>
      </w:r>
      <w:proofErr w:type="spellStart"/>
      <w:r w:rsidR="00A17048">
        <w:rPr>
          <w:rFonts w:ascii="Bookman Old Style" w:hAnsi="Bookman Old Style" w:cs="Bookman Old Style"/>
          <w:bCs/>
          <w:color w:val="000000"/>
        </w:rPr>
        <w:t>Caruk</w:t>
      </w:r>
      <w:proofErr w:type="spellEnd"/>
      <w:r w:rsidR="00A17048">
        <w:rPr>
          <w:rFonts w:ascii="Bookman Old Style" w:hAnsi="Bookman Old Style" w:cs="Bookman Old Style"/>
          <w:bCs/>
          <w:color w:val="000000"/>
        </w:rPr>
        <w:t>-Niewęgłowska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F228ED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tel. 81 440 87 </w:t>
      </w:r>
      <w:r w:rsidR="00A17048" w:rsidRPr="00F228ED">
        <w:rPr>
          <w:rFonts w:ascii="Bookman Old Style" w:hAnsi="Bookman Old Style" w:cs="Bookman Old Style"/>
          <w:bCs/>
          <w:color w:val="000000"/>
          <w:lang w:val="en-US"/>
        </w:rPr>
        <w:t>23</w:t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A17048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A17048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A17048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="00A17048" w:rsidRPr="00A17048">
          <w:rPr>
            <w:rStyle w:val="Hipercze"/>
            <w:rFonts w:ascii="Bookman Old Style" w:hAnsi="Bookman Old Style" w:cs="Bookman Old Style"/>
            <w:bCs/>
            <w:lang w:val="en-US"/>
          </w:rPr>
          <w:t>o.caruk@kssip.gov.pl</w:t>
        </w:r>
      </w:hyperlink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A17048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A17048">
        <w:rPr>
          <w:rFonts w:ascii="Bookman Old Style" w:hAnsi="Bookman Old Style" w:cs="Bookman Old Style"/>
          <w:bCs/>
          <w:color w:val="000000"/>
          <w:lang w:val="en-US"/>
        </w:rPr>
        <w:t>e-mail:</w:t>
      </w:r>
      <w:hyperlink r:id="rId11" w:history="1">
        <w:r w:rsidR="00BB30C7" w:rsidRPr="00A17048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Pr="00A17048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C679E7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5A47A2" w:rsidRPr="00CD141C" w:rsidRDefault="00C679E7" w:rsidP="002F63EC">
      <w:pPr>
        <w:jc w:val="both"/>
        <w:rPr>
          <w:rStyle w:val="Pogrubienie"/>
          <w:rFonts w:ascii="Bookman Old Style" w:hAnsi="Bookman Old Style"/>
          <w:bCs w:val="0"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86060C" w:rsidRDefault="0086060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A17048" w:rsidRDefault="00A17048" w:rsidP="00A17048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8A56D2">
        <w:rPr>
          <w:rStyle w:val="Pogrubienie"/>
          <w:rFonts w:ascii="Bookman Old Style" w:hAnsi="Bookman Old Style"/>
          <w:i/>
        </w:rPr>
        <w:t>dr</w:t>
      </w:r>
      <w:proofErr w:type="gramEnd"/>
      <w:r w:rsidRPr="008A56D2">
        <w:rPr>
          <w:rStyle w:val="Pogrubienie"/>
          <w:rFonts w:ascii="Bookman Old Style" w:hAnsi="Bookman Old Style"/>
          <w:i/>
        </w:rPr>
        <w:t xml:space="preserve"> Małgorzata Winter</w:t>
      </w:r>
      <w:r>
        <w:rPr>
          <w:rStyle w:val="Pogrubienie"/>
          <w:rFonts w:ascii="Bookman Old Style" w:hAnsi="Bookman Old Style"/>
          <w:i/>
        </w:rPr>
        <w:t xml:space="preserve"> </w:t>
      </w:r>
    </w:p>
    <w:p w:rsidR="00A17048" w:rsidRPr="00A17048" w:rsidRDefault="00A17048" w:rsidP="00A17048">
      <w:pPr>
        <w:spacing w:before="120"/>
        <w:jc w:val="both"/>
        <w:rPr>
          <w:rFonts w:ascii="Bookman Old Style" w:hAnsi="Bookman Old Style"/>
          <w:b/>
          <w:bCs/>
          <w:i/>
        </w:rPr>
      </w:pPr>
      <w:proofErr w:type="gramStart"/>
      <w:r>
        <w:rPr>
          <w:rFonts w:ascii="Bookman Old Style" w:hAnsi="Bookman Old Style"/>
          <w:i/>
        </w:rPr>
        <w:t>p</w:t>
      </w:r>
      <w:r w:rsidRPr="008A56D2">
        <w:rPr>
          <w:rFonts w:ascii="Bookman Old Style" w:hAnsi="Bookman Old Style"/>
          <w:i/>
        </w:rPr>
        <w:t>racownik</w:t>
      </w:r>
      <w:proofErr w:type="gramEnd"/>
      <w:r w:rsidRPr="008A56D2">
        <w:rPr>
          <w:rFonts w:ascii="Bookman Old Style" w:hAnsi="Bookman Old Style"/>
          <w:i/>
        </w:rPr>
        <w:t xml:space="preserve"> naukowo-dydaktyczny, adiunkt w Katedrze Finansów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</w:t>
      </w:r>
      <w:r>
        <w:rPr>
          <w:rFonts w:ascii="Bookman Old Style" w:hAnsi="Bookman Old Style"/>
          <w:i/>
        </w:rPr>
        <w:t xml:space="preserve"> </w:t>
      </w:r>
      <w:r w:rsidRPr="008A56D2">
        <w:rPr>
          <w:rFonts w:ascii="Bookman Old Style" w:hAnsi="Bookman Old Style"/>
          <w:i/>
        </w:rPr>
        <w:t>Rachunkowości Wydziału Zarządzania Uniwersytetu Warszawskiego,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o znaczącym dorobku naukowym w zakresie teorii i praktyki rachunkowości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 finansów, także wykładowca i szkoleniowiec na kursach dla praktyków. Biegły rewident. Autorka licznych publikacji z zakresu rachunkowości i finansów.</w:t>
      </w: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BE48E7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86060C" w:rsidRDefault="0086060C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Default="00DF4E4A" w:rsidP="00CD141C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CD141C" w:rsidRDefault="00CD141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Pr="00683034" w:rsidRDefault="0086060C" w:rsidP="00A17048">
      <w:pPr>
        <w:spacing w:before="60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C679E7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262C30" w:rsidP="004C0FB5">
      <w:pPr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r w:rsidR="00E803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4 grudnia</w:t>
      </w:r>
      <w:r w:rsidR="004C0FB5">
        <w:rPr>
          <w:rFonts w:ascii="Bookman Old Style" w:hAnsi="Bookman Old Style"/>
          <w:b/>
        </w:rPr>
        <w:t xml:space="preserve"> </w:t>
      </w:r>
      <w:r w:rsidR="00DF4E4A"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C679E7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321BFB" w:rsidRPr="0041420C" w:rsidRDefault="00524A03" w:rsidP="0041420C">
      <w:pPr>
        <w:spacing w:before="120"/>
        <w:ind w:left="2127" w:hanging="2127"/>
        <w:jc w:val="both"/>
        <w:rPr>
          <w:rStyle w:val="Pogrubienie"/>
          <w:rFonts w:ascii="Bookman Old Style" w:hAnsi="Bookman Old Style" w:cs="Arial"/>
          <w:bCs w:val="0"/>
        </w:rPr>
      </w:pPr>
      <w:r w:rsidRPr="00683034">
        <w:rPr>
          <w:rFonts w:ascii="Bookman Old Style" w:hAnsi="Bookman Old Style" w:cs="Arial"/>
          <w:b/>
        </w:rPr>
        <w:t>9</w:t>
      </w:r>
      <w:r w:rsidR="00580E7D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30</w:t>
      </w:r>
      <w:r w:rsidR="00580E7D">
        <w:rPr>
          <w:rFonts w:ascii="Bookman Old Style" w:hAnsi="Bookman Old Style" w:cs="Arial"/>
          <w:b/>
        </w:rPr>
        <w:t xml:space="preserve"> – 11.</w:t>
      </w:r>
      <w:r w:rsidR="00113FFD">
        <w:rPr>
          <w:rFonts w:ascii="Bookman Old Style" w:hAnsi="Bookman Old Style" w:cs="Arial"/>
          <w:b/>
        </w:rPr>
        <w:t>4</w:t>
      </w:r>
      <w:r w:rsidR="00321BFB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</w:t>
      </w:r>
    </w:p>
    <w:p w:rsidR="0041420C" w:rsidRPr="0041420C" w:rsidRDefault="0041420C" w:rsidP="0041420C">
      <w:pPr>
        <w:ind w:left="2127"/>
        <w:jc w:val="both"/>
        <w:rPr>
          <w:rFonts w:ascii="Bookman Old Style" w:hAnsi="Bookman Old Style"/>
          <w:i/>
        </w:rPr>
      </w:pPr>
      <w:r w:rsidRPr="0041420C">
        <w:rPr>
          <w:rFonts w:ascii="Bookman Old Style" w:hAnsi="Bookman Old Style"/>
          <w:i/>
        </w:rPr>
        <w:t>Ocena stanu majątkowego przedsiębiorstwa, niewypłacalność, utrata płynności finansowej w kontekście wniosku o zwolnienie od kosztów sądowych</w:t>
      </w:r>
    </w:p>
    <w:p w:rsidR="009801EB" w:rsidRPr="00683034" w:rsidRDefault="009801EB" w:rsidP="0041420C">
      <w:pPr>
        <w:spacing w:before="240"/>
        <w:ind w:left="2127" w:hanging="2127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4</w:t>
      </w:r>
      <w:r w:rsidR="00321BF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113FFD">
        <w:rPr>
          <w:rFonts w:ascii="Bookman Old Style" w:hAnsi="Bookman Old Style" w:cs="Arial"/>
        </w:rPr>
        <w:t>2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0</w:t>
      </w:r>
      <w:r w:rsidR="00321BFB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2A2157" w:rsidRDefault="002840E7" w:rsidP="0041420C">
      <w:pPr>
        <w:spacing w:before="240"/>
        <w:ind w:left="2127" w:hanging="2127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</w:t>
      </w:r>
      <w:r w:rsidR="00113FFD">
        <w:rPr>
          <w:rFonts w:ascii="Bookman Old Style" w:hAnsi="Bookman Old Style" w:cs="Arial"/>
          <w:b/>
        </w:rPr>
        <w:t>2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0</w:t>
      </w:r>
      <w:r w:rsidR="00321BFB">
        <w:rPr>
          <w:rFonts w:ascii="Bookman Old Style" w:hAnsi="Bookman Old Style" w:cs="Arial"/>
          <w:b/>
        </w:rPr>
        <w:t>0</w:t>
      </w:r>
      <w:r w:rsidR="002A2157"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3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</w:t>
      </w:r>
      <w:r w:rsidR="00321BFB">
        <w:rPr>
          <w:rFonts w:ascii="Bookman Old Style" w:hAnsi="Bookman Old Style" w:cs="Arial"/>
          <w:b/>
        </w:rPr>
        <w:t>0</w:t>
      </w:r>
      <w:r w:rsidR="0041420C">
        <w:rPr>
          <w:rFonts w:ascii="Bookman Old Style" w:hAnsi="Bookman Old Style" w:cs="Arial"/>
          <w:i/>
        </w:rPr>
        <w:tab/>
      </w:r>
      <w:r w:rsidR="0041420C">
        <w:rPr>
          <w:rFonts w:ascii="Bookman Old Style" w:hAnsi="Bookman Old Style" w:cs="Arial"/>
          <w:b/>
        </w:rPr>
        <w:t xml:space="preserve">WYKŁAD </w:t>
      </w:r>
    </w:p>
    <w:p w:rsidR="0041420C" w:rsidRPr="0041420C" w:rsidRDefault="00113FFD" w:rsidP="0041420C">
      <w:pPr>
        <w:pStyle w:val="Akapitzlist"/>
        <w:ind w:left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</w:t>
      </w:r>
      <w:r w:rsidR="0041420C" w:rsidRPr="0041420C">
        <w:rPr>
          <w:rFonts w:ascii="Bookman Old Style" w:hAnsi="Bookman Old Style"/>
          <w:i/>
        </w:rPr>
        <w:t>rzesłanki odpowiedzialności członków zarządu w trybie 299 KSH</w:t>
      </w:r>
    </w:p>
    <w:p w:rsidR="00DF4E4A" w:rsidRPr="0041420C" w:rsidRDefault="00113FFD" w:rsidP="0041420C">
      <w:pPr>
        <w:spacing w:before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13.3</w:t>
      </w:r>
      <w:r w:rsidR="0041420C">
        <w:rPr>
          <w:rFonts w:ascii="Bookman Old Style" w:hAnsi="Bookman Old Style" w:cs="Arial"/>
        </w:rPr>
        <w:t xml:space="preserve">0 </w:t>
      </w:r>
      <w:r w:rsidR="00DF4E4A" w:rsidRPr="0041420C">
        <w:rPr>
          <w:rFonts w:ascii="Bookman Old Style" w:hAnsi="Bookman Old Style" w:cs="Arial"/>
        </w:rPr>
        <w:t>– 1</w:t>
      </w:r>
      <w:r w:rsidR="002840E7" w:rsidRPr="0041420C">
        <w:rPr>
          <w:rFonts w:ascii="Bookman Old Style" w:hAnsi="Bookman Old Style" w:cs="Arial"/>
        </w:rPr>
        <w:t>3</w:t>
      </w:r>
      <w:r w:rsidR="00DF4E4A" w:rsidRPr="0041420C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</w:t>
      </w:r>
      <w:r w:rsidR="00321BFB" w:rsidRPr="0041420C">
        <w:rPr>
          <w:rFonts w:ascii="Bookman Old Style" w:hAnsi="Bookman Old Style" w:cs="Arial"/>
        </w:rPr>
        <w:t>5</w:t>
      </w:r>
      <w:r w:rsidR="0041420C">
        <w:rPr>
          <w:rFonts w:ascii="Bookman Old Style" w:hAnsi="Bookman Old Style" w:cs="Arial"/>
        </w:rPr>
        <w:tab/>
      </w:r>
      <w:proofErr w:type="gramStart"/>
      <w:r w:rsidR="00C47BC3" w:rsidRPr="0041420C">
        <w:rPr>
          <w:rFonts w:ascii="Bookman Old Style" w:hAnsi="Bookman Old Style" w:cs="Arial"/>
        </w:rPr>
        <w:t>przerwa</w:t>
      </w:r>
      <w:proofErr w:type="gramEnd"/>
      <w:r w:rsidR="002840E7" w:rsidRPr="0041420C">
        <w:rPr>
          <w:rFonts w:ascii="Bookman Old Style" w:hAnsi="Bookman Old Style" w:cs="Arial"/>
        </w:rPr>
        <w:t xml:space="preserve"> kawowa</w:t>
      </w:r>
    </w:p>
    <w:p w:rsidR="001704A6" w:rsidRPr="0041420C" w:rsidRDefault="00113FFD" w:rsidP="0041420C">
      <w:pPr>
        <w:spacing w:before="2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13.4</w:t>
      </w:r>
      <w:r w:rsidR="0041420C">
        <w:rPr>
          <w:rFonts w:ascii="Bookman Old Style" w:hAnsi="Bookman Old Style" w:cs="Arial"/>
          <w:b/>
        </w:rPr>
        <w:t xml:space="preserve">5 </w:t>
      </w:r>
      <w:r w:rsidR="001704A6" w:rsidRPr="0041420C">
        <w:rPr>
          <w:rFonts w:ascii="Bookman Old Style" w:hAnsi="Bookman Old Style" w:cs="Arial"/>
          <w:b/>
        </w:rPr>
        <w:t>– 1</w:t>
      </w:r>
      <w:r>
        <w:rPr>
          <w:rFonts w:ascii="Bookman Old Style" w:hAnsi="Bookman Old Style" w:cs="Arial"/>
          <w:b/>
        </w:rPr>
        <w:t>5</w:t>
      </w:r>
      <w:r w:rsidR="001704A6" w:rsidRPr="0041420C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</w:t>
      </w:r>
      <w:r w:rsidR="00321BFB" w:rsidRPr="0041420C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  <w:b/>
        </w:rPr>
        <w:tab/>
      </w:r>
      <w:r w:rsidR="001704A6" w:rsidRPr="0041420C">
        <w:rPr>
          <w:rFonts w:ascii="Bookman Old Style" w:hAnsi="Bookman Old Style" w:cs="Arial"/>
          <w:b/>
        </w:rPr>
        <w:t xml:space="preserve">WYKŁAD </w:t>
      </w:r>
    </w:p>
    <w:p w:rsidR="0041420C" w:rsidRPr="00683034" w:rsidRDefault="00113FFD" w:rsidP="00113FFD">
      <w:pPr>
        <w:spacing w:before="240"/>
        <w:ind w:left="2127"/>
        <w:jc w:val="both"/>
        <w:rPr>
          <w:rFonts w:ascii="Bookman Old Style" w:hAnsi="Bookman Old Style" w:cs="Arial"/>
          <w:b/>
        </w:rPr>
      </w:pPr>
      <w:r w:rsidRPr="0041420C">
        <w:rPr>
          <w:rFonts w:ascii="Bookman Old Style" w:hAnsi="Bookman Old Style"/>
          <w:i/>
        </w:rPr>
        <w:t>Pod</w:t>
      </w:r>
      <w:r>
        <w:rPr>
          <w:rFonts w:ascii="Bookman Old Style" w:hAnsi="Bookman Old Style"/>
          <w:i/>
        </w:rPr>
        <w:t>stawy do zgłoszenia upadłości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3011CF" w:rsidRPr="00683034" w:rsidRDefault="003011CF" w:rsidP="00CD141C">
      <w:pPr>
        <w:spacing w:before="60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8C3E14" w:rsidRDefault="008C3E14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C679E7" w:rsidRDefault="00C679E7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C679E7" w:rsidRDefault="00C679E7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  <w:bookmarkStart w:id="0" w:name="_GoBack"/>
      <w:bookmarkEnd w:id="0"/>
    </w:p>
    <w:p w:rsidR="0086060C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C679E7" w:rsidRDefault="00C679E7" w:rsidP="00C679E7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Zastępca Dyrektora</w:t>
      </w:r>
    </w:p>
    <w:p w:rsidR="00C679E7" w:rsidRDefault="00C679E7" w:rsidP="00C679E7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Krajowej Szkoły Sądownictwa i Prokuratury</w:t>
      </w:r>
    </w:p>
    <w:p w:rsidR="00C679E7" w:rsidRDefault="00C679E7" w:rsidP="00C679E7">
      <w:pPr>
        <w:tabs>
          <w:tab w:val="left" w:pos="0"/>
        </w:tabs>
        <w:ind w:left="3969"/>
        <w:jc w:val="center"/>
        <w:rPr>
          <w:rFonts w:ascii="Bookman Old Style" w:hAnsi="Bookman Old Style"/>
          <w:b/>
          <w:i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sz w:val="20"/>
          <w:szCs w:val="20"/>
        </w:rPr>
        <w:t>ds</w:t>
      </w:r>
      <w:proofErr w:type="gramEnd"/>
      <w:r>
        <w:rPr>
          <w:rFonts w:ascii="Bookman Old Style" w:hAnsi="Bookman Old Style"/>
          <w:b/>
          <w:i/>
          <w:sz w:val="20"/>
          <w:szCs w:val="20"/>
        </w:rPr>
        <w:t>. Szkolenia Ustawicznego i Współpracy Międzynarodowej</w:t>
      </w:r>
    </w:p>
    <w:p w:rsidR="00C679E7" w:rsidRDefault="00C679E7" w:rsidP="00C679E7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-//-</w:t>
      </w:r>
    </w:p>
    <w:p w:rsidR="00C679E7" w:rsidRDefault="00C679E7" w:rsidP="00C679E7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sz w:val="20"/>
          <w:szCs w:val="20"/>
        </w:rPr>
        <w:t>sędzia</w:t>
      </w:r>
      <w:proofErr w:type="gramEnd"/>
      <w:r>
        <w:rPr>
          <w:rFonts w:ascii="Bookman Old Style" w:hAnsi="Bookman Old Style"/>
          <w:b/>
          <w:i/>
          <w:sz w:val="20"/>
          <w:szCs w:val="20"/>
        </w:rPr>
        <w:t xml:space="preserve"> Adam Czerwiński</w:t>
      </w:r>
    </w:p>
    <w:p w:rsidR="00262C30" w:rsidRPr="00262C30" w:rsidRDefault="00262C30" w:rsidP="00262C30">
      <w:pPr>
        <w:tabs>
          <w:tab w:val="left" w:pos="5580"/>
        </w:tabs>
        <w:spacing w:line="360" w:lineRule="auto"/>
        <w:rPr>
          <w:rStyle w:val="Hipercze"/>
          <w:rFonts w:ascii="Bookman Old Style" w:hAnsi="Bookman Old Style"/>
          <w:b/>
          <w:bCs/>
          <w:i/>
          <w:iCs/>
          <w:color w:val="auto"/>
          <w:u w:val="none"/>
        </w:rPr>
      </w:pPr>
    </w:p>
    <w:sectPr w:rsidR="00262C30" w:rsidRPr="00262C30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48" w:rsidRDefault="00B83848">
      <w:r>
        <w:separator/>
      </w:r>
    </w:p>
  </w:endnote>
  <w:endnote w:type="continuationSeparator" w:id="0">
    <w:p w:rsidR="00B83848" w:rsidRDefault="00B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48" w:rsidRDefault="00B83848">
      <w:r>
        <w:separator/>
      </w:r>
    </w:p>
  </w:footnote>
  <w:footnote w:type="continuationSeparator" w:id="0">
    <w:p w:rsidR="00B83848" w:rsidRDefault="00B8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F83E7B"/>
    <w:multiLevelType w:val="hybridMultilevel"/>
    <w:tmpl w:val="D73A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2F51"/>
    <w:rsid w:val="00027FDB"/>
    <w:rsid w:val="000329CC"/>
    <w:rsid w:val="000379EC"/>
    <w:rsid w:val="00037B53"/>
    <w:rsid w:val="0004124E"/>
    <w:rsid w:val="0005297C"/>
    <w:rsid w:val="00054DE2"/>
    <w:rsid w:val="00060DCB"/>
    <w:rsid w:val="00063A0B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A65DD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3FFD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B4B59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2BBF"/>
    <w:rsid w:val="00262C30"/>
    <w:rsid w:val="00263E7B"/>
    <w:rsid w:val="002670B5"/>
    <w:rsid w:val="00273867"/>
    <w:rsid w:val="00273A83"/>
    <w:rsid w:val="00275989"/>
    <w:rsid w:val="00281F98"/>
    <w:rsid w:val="002840E7"/>
    <w:rsid w:val="002853DA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48DA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BFB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08D7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20C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0FB5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2E0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352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E6CD1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11B46"/>
    <w:rsid w:val="0081506E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060C"/>
    <w:rsid w:val="00864EEE"/>
    <w:rsid w:val="008726B5"/>
    <w:rsid w:val="008732FE"/>
    <w:rsid w:val="00873586"/>
    <w:rsid w:val="008744D7"/>
    <w:rsid w:val="00876629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461"/>
    <w:rsid w:val="008E2ED8"/>
    <w:rsid w:val="008F23A5"/>
    <w:rsid w:val="009031A6"/>
    <w:rsid w:val="0090634D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47472"/>
    <w:rsid w:val="009539D1"/>
    <w:rsid w:val="00963942"/>
    <w:rsid w:val="0096522C"/>
    <w:rsid w:val="009725AF"/>
    <w:rsid w:val="00973C83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048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2BE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2CDA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54629"/>
    <w:rsid w:val="00B659A2"/>
    <w:rsid w:val="00B67694"/>
    <w:rsid w:val="00B7625D"/>
    <w:rsid w:val="00B76795"/>
    <w:rsid w:val="00B83848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49C7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679E7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C1A53"/>
    <w:rsid w:val="00CD0551"/>
    <w:rsid w:val="00CD141C"/>
    <w:rsid w:val="00CD2113"/>
    <w:rsid w:val="00CD7A33"/>
    <w:rsid w:val="00CE1FBC"/>
    <w:rsid w:val="00CE2A42"/>
    <w:rsid w:val="00CE3808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45613"/>
    <w:rsid w:val="00D52FAC"/>
    <w:rsid w:val="00D65E57"/>
    <w:rsid w:val="00D67F9F"/>
    <w:rsid w:val="00D73870"/>
    <w:rsid w:val="00D753FF"/>
    <w:rsid w:val="00D82A33"/>
    <w:rsid w:val="00D83D2D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065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16878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3D8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0E4E"/>
    <w:rsid w:val="00F016FD"/>
    <w:rsid w:val="00F05FE2"/>
    <w:rsid w:val="00F06613"/>
    <w:rsid w:val="00F0690E"/>
    <w:rsid w:val="00F07C28"/>
    <w:rsid w:val="00F10937"/>
    <w:rsid w:val="00F13CBC"/>
    <w:rsid w:val="00F20841"/>
    <w:rsid w:val="00F228ED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3B5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5000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caru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4</cp:revision>
  <cp:lastPrinted>2014-11-14T14:55:00Z</cp:lastPrinted>
  <dcterms:created xsi:type="dcterms:W3CDTF">2014-11-14T14:56:00Z</dcterms:created>
  <dcterms:modified xsi:type="dcterms:W3CDTF">2014-11-19T10:50:00Z</dcterms:modified>
</cp:coreProperties>
</file>