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72" w:rsidRDefault="00CF1A72" w:rsidP="00CF1A7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41D97D45" wp14:editId="4FA7A0CC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72" w:rsidRDefault="00CF1A72" w:rsidP="00CF1A7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F1A72" w:rsidRDefault="00CF1A72" w:rsidP="00CF1A7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F1A72" w:rsidRDefault="00CF1A72" w:rsidP="00CF1A7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F1A72" w:rsidRDefault="00CF1A72" w:rsidP="00CF1A7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F1A72" w:rsidRDefault="00CF1A72" w:rsidP="00CF1A7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D16C54" w:rsidRPr="00D16C54">
        <w:rPr>
          <w:rFonts w:ascii="Bookman Old Style" w:hAnsi="Bookman Old Style"/>
        </w:rPr>
        <w:t>55.2018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Lublin, 14 maja 2018 </w:t>
      </w:r>
      <w:r w:rsidRPr="00E94F83">
        <w:rPr>
          <w:rFonts w:ascii="Bookman Old Style" w:hAnsi="Bookman Old Style"/>
        </w:rPr>
        <w:t>r.</w:t>
      </w:r>
    </w:p>
    <w:p w:rsidR="00CF1A72" w:rsidRPr="006960ED" w:rsidRDefault="00CF1A72" w:rsidP="00CF1A7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K1/C/18</w:t>
      </w:r>
    </w:p>
    <w:p w:rsidR="00CF1A72" w:rsidRPr="009406B1" w:rsidRDefault="00D673BA" w:rsidP="00CF1A7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CF1A72" w:rsidRPr="009406B1" w:rsidRDefault="00CF1A72" w:rsidP="00CF1A7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F1A72" w:rsidRPr="009406B1" w:rsidRDefault="00CF1A72" w:rsidP="00CF1A72">
      <w:pPr>
        <w:spacing w:before="60" w:line="276" w:lineRule="auto"/>
        <w:jc w:val="center"/>
        <w:rPr>
          <w:rFonts w:ascii="Bookman Old Style" w:hAnsi="Bookman Old Style"/>
          <w:b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SĄDOWYCH ORZEKAJĄCYCH W WYDZIAŁACH KARNYCH ORAZ PROKURATORÓW I ASESORÓW PROKURATURY </w:t>
      </w:r>
      <w:r w:rsidR="00D673BA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CF1A72" w:rsidRPr="00B71092" w:rsidRDefault="00CF1A72" w:rsidP="00CF1A72">
      <w:pPr>
        <w:rPr>
          <w:rFonts w:ascii="Bookman Old Style" w:hAnsi="Bookman Old Style"/>
          <w:b/>
          <w:sz w:val="18"/>
          <w:szCs w:val="18"/>
        </w:rPr>
      </w:pPr>
    </w:p>
    <w:p w:rsidR="00CF1A72" w:rsidRPr="009406B1" w:rsidRDefault="00D673BA" w:rsidP="00CF1A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CF1A72" w:rsidRPr="009406B1" w:rsidRDefault="00CF1A72" w:rsidP="00CF1A7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CF1A72" w:rsidRPr="009406B1" w:rsidRDefault="00D673BA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CF1A72" w:rsidRPr="007D03E0" w:rsidRDefault="00CF1A72" w:rsidP="00CF1A7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F1A72" w:rsidRPr="00B71092" w:rsidRDefault="00CF1A72" w:rsidP="00CF1A7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„Współpraca międzynarodowa w sprawach karnych”</w:t>
      </w:r>
    </w:p>
    <w:p w:rsidR="00CF1A72" w:rsidRDefault="00CF1A72" w:rsidP="00CF1A72">
      <w:pPr>
        <w:jc w:val="center"/>
        <w:rPr>
          <w:rFonts w:ascii="Bookman Old Style" w:hAnsi="Bookman Old Style"/>
          <w:b/>
        </w:rPr>
      </w:pPr>
    </w:p>
    <w:p w:rsidR="00CF1A72" w:rsidRPr="009406B1" w:rsidRDefault="00D673BA" w:rsidP="00CF1A7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CF1A72" w:rsidRPr="009406B1" w:rsidRDefault="00CF1A72" w:rsidP="00CF1A72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CF1A72" w:rsidRPr="009406B1" w:rsidRDefault="00D673BA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F1A72" w:rsidRPr="00B71092" w:rsidRDefault="00CF1A72" w:rsidP="00CF1A72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F1A72" w:rsidRPr="003937F2" w:rsidRDefault="00CF1A72" w:rsidP="00CF1A7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26 – 28 września </w:t>
      </w:r>
      <w:r w:rsidRPr="006960ED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8</w:t>
      </w:r>
      <w:r w:rsidRPr="006960ED">
        <w:rPr>
          <w:rFonts w:ascii="Bookman Old Style" w:hAnsi="Bookman Old Style"/>
        </w:rPr>
        <w:t xml:space="preserve"> r.</w:t>
      </w:r>
      <w:r w:rsidRPr="006960ED">
        <w:rPr>
          <w:rFonts w:ascii="Bookman Old Style" w:hAnsi="Bookman Old Style"/>
        </w:rPr>
        <w:tab/>
      </w:r>
      <w:r w:rsidRPr="006960ED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Ośrodek Szkoleniowy w Dębem</w:t>
      </w:r>
    </w:p>
    <w:p w:rsidR="00CF1A72" w:rsidRPr="003937F2" w:rsidRDefault="00CF1A72" w:rsidP="00CF1A72">
      <w:pPr>
        <w:spacing w:line="276" w:lineRule="auto"/>
        <w:ind w:left="2832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F1A72" w:rsidRPr="003937F2" w:rsidRDefault="00CF1A72" w:rsidP="00CF1A7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CF1A72" w:rsidRDefault="00D673BA" w:rsidP="00CF1A7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CF1A72" w:rsidRPr="009406B1" w:rsidRDefault="00CF1A72" w:rsidP="00CF1A7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CF1A72" w:rsidRDefault="00D673BA" w:rsidP="00CF1A7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CF1A72" w:rsidRPr="00B71092" w:rsidRDefault="00CF1A72" w:rsidP="00CF1A72">
      <w:pPr>
        <w:rPr>
          <w:rFonts w:ascii="Bookman Old Style" w:hAnsi="Bookman Old Style"/>
          <w:sz w:val="20"/>
          <w:szCs w:val="20"/>
        </w:rPr>
      </w:pPr>
    </w:p>
    <w:p w:rsidR="00CF1A72" w:rsidRPr="007812AC" w:rsidRDefault="00CF1A72" w:rsidP="00CF1A72">
      <w:pPr>
        <w:spacing w:before="60"/>
        <w:jc w:val="center"/>
        <w:rPr>
          <w:rFonts w:ascii="Bookman Old Style" w:hAnsi="Bookman Old Style"/>
        </w:rPr>
      </w:pPr>
      <w:r w:rsidRPr="007812AC">
        <w:rPr>
          <w:rFonts w:ascii="Bookman Old Style" w:hAnsi="Bookman Old Style"/>
        </w:rPr>
        <w:t>Krajowa Szkoła Sądownictwa i Prokuratury</w:t>
      </w:r>
    </w:p>
    <w:p w:rsidR="00CF1A72" w:rsidRPr="007812AC" w:rsidRDefault="00CF1A72" w:rsidP="00CF1A72">
      <w:pPr>
        <w:spacing w:before="60"/>
        <w:jc w:val="center"/>
        <w:rPr>
          <w:rFonts w:ascii="Bookman Old Style" w:hAnsi="Bookman Old Style" w:cs="Bookman Old Style"/>
          <w:bCs/>
        </w:rPr>
      </w:pPr>
      <w:r w:rsidRPr="007812A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CF1A72" w:rsidRPr="007812AC" w:rsidRDefault="00CF1A72" w:rsidP="00CF1A72">
      <w:pPr>
        <w:spacing w:before="60"/>
        <w:jc w:val="center"/>
        <w:rPr>
          <w:rFonts w:ascii="Bookman Old Style" w:hAnsi="Bookman Old Style" w:cs="Bookman Old Style"/>
          <w:bCs/>
        </w:rPr>
      </w:pPr>
      <w:r w:rsidRPr="007812AC">
        <w:rPr>
          <w:rFonts w:ascii="Bookman Old Style" w:hAnsi="Bookman Old Style" w:cs="Bookman Old Style"/>
          <w:bCs/>
        </w:rPr>
        <w:t>ul. Krakowskie Przedmieście 62, 20 - 076 Lublin</w:t>
      </w:r>
    </w:p>
    <w:p w:rsidR="00CF1A72" w:rsidRPr="007812AC" w:rsidRDefault="00CF1A72" w:rsidP="00CF1A72">
      <w:pPr>
        <w:spacing w:before="60"/>
        <w:jc w:val="center"/>
        <w:rPr>
          <w:rFonts w:ascii="Bookman Old Style" w:hAnsi="Bookman Old Style"/>
        </w:rPr>
      </w:pPr>
      <w:r w:rsidRPr="007812AC">
        <w:rPr>
          <w:rFonts w:ascii="Bookman Old Style" w:hAnsi="Bookman Old Style"/>
        </w:rPr>
        <w:t>tel. 81 440 87 10</w:t>
      </w:r>
    </w:p>
    <w:p w:rsidR="00CF1A72" w:rsidRDefault="00CF1A72" w:rsidP="00CF1A72">
      <w:pPr>
        <w:rPr>
          <w:rFonts w:ascii="Bookman Old Style" w:hAnsi="Bookman Old Style"/>
          <w:b/>
        </w:rPr>
      </w:pPr>
    </w:p>
    <w:p w:rsidR="00CF1A72" w:rsidRDefault="00D673BA" w:rsidP="00CF1A7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CF1A72" w:rsidRDefault="00CF1A72" w:rsidP="00CF1A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CF1A72" w:rsidRDefault="00D673BA" w:rsidP="00CF1A7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CF1A72" w:rsidRPr="007812AC" w:rsidRDefault="00CF1A72" w:rsidP="00CF1A7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7812AC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 w:rsidRPr="007812AC">
        <w:rPr>
          <w:rFonts w:ascii="Bookman Old Style" w:hAnsi="Bookman Old Style"/>
          <w:sz w:val="22"/>
          <w:szCs w:val="22"/>
        </w:rPr>
        <w:t>organizacyjnie:</w:t>
      </w:r>
    </w:p>
    <w:p w:rsidR="00CF1A72" w:rsidRDefault="00CF1A72" w:rsidP="00CF1A7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  <w:t xml:space="preserve"> </w:t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 </w:t>
      </w:r>
    </w:p>
    <w:p w:rsidR="00CF1A72" w:rsidRPr="007812AC" w:rsidRDefault="00CF1A72" w:rsidP="00CF1A7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812AC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7812AC">
        <w:rPr>
          <w:rFonts w:ascii="Bookman Old Style" w:hAnsi="Bookman Old Style"/>
          <w:sz w:val="22"/>
          <w:szCs w:val="22"/>
          <w:lang w:val="en-US"/>
        </w:rPr>
        <w:tab/>
      </w:r>
      <w:r w:rsidRPr="007812AC">
        <w:rPr>
          <w:rFonts w:ascii="Bookman Old Style" w:hAnsi="Bookman Old Style"/>
          <w:sz w:val="22"/>
          <w:szCs w:val="22"/>
          <w:lang w:val="en-US"/>
        </w:rPr>
        <w:tab/>
      </w:r>
      <w:r w:rsidRPr="007812AC">
        <w:rPr>
          <w:rFonts w:ascii="Bookman Old Style" w:hAnsi="Bookman Old Style"/>
          <w:sz w:val="22"/>
          <w:szCs w:val="22"/>
          <w:lang w:val="en-US"/>
        </w:rPr>
        <w:tab/>
      </w:r>
      <w:r w:rsidRPr="007812AC">
        <w:rPr>
          <w:rFonts w:ascii="Bookman Old Style" w:hAnsi="Bookman Old Style"/>
          <w:sz w:val="22"/>
          <w:szCs w:val="22"/>
          <w:lang w:val="en-US"/>
        </w:rPr>
        <w:tab/>
        <w:t>tel. 81 458 37 43</w:t>
      </w:r>
    </w:p>
    <w:p w:rsidR="00CF1A72" w:rsidRPr="005B1979" w:rsidRDefault="00CF1A72" w:rsidP="00CF1A72">
      <w:pPr>
        <w:spacing w:before="60" w:line="276" w:lineRule="auto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7812A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7812AC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</w:t>
        </w:r>
        <w:r w:rsidRPr="00187E38">
          <w:rPr>
            <w:rStyle w:val="Hipercze"/>
            <w:rFonts w:ascii="Bookman Old Style" w:hAnsi="Bookman Old Style"/>
            <w:sz w:val="22"/>
            <w:szCs w:val="22"/>
            <w:lang w:val="en-US"/>
          </w:rPr>
          <w:t>ov.pl</w:t>
        </w:r>
      </w:hyperlink>
      <w:r w:rsidRPr="005B197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B197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7812A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Pr="002F3A1B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</w:p>
    <w:p w:rsidR="00CF1A72" w:rsidRPr="005B1979" w:rsidRDefault="00CF1A72" w:rsidP="00CF1A72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CF1A72" w:rsidRDefault="00CF1A72" w:rsidP="00CF1A72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CF1A72" w:rsidRDefault="00CF1A72" w:rsidP="00CF1A72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CF1A72" w:rsidRPr="0048162B" w:rsidRDefault="00CF1A72" w:rsidP="00CF1A72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:rsidR="00CF1A72" w:rsidRDefault="00D673BA" w:rsidP="00CF1A72">
      <w:pPr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CF1A72" w:rsidRPr="002D2B81" w:rsidRDefault="00CF1A72" w:rsidP="00CF1A72">
      <w:pPr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CF1A72" w:rsidRDefault="00D673BA" w:rsidP="00CF1A72">
      <w:pPr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CF1A72" w:rsidRPr="007D2245" w:rsidRDefault="00CF1A72" w:rsidP="00CF1A72">
      <w:pPr>
        <w:ind w:right="-709"/>
        <w:jc w:val="both"/>
        <w:rPr>
          <w:rFonts w:ascii="Bookman Old Style" w:hAnsi="Bookman Old Style"/>
          <w:b/>
          <w:sz w:val="6"/>
          <w:szCs w:val="6"/>
        </w:rPr>
      </w:pPr>
    </w:p>
    <w:p w:rsidR="00CF1A72" w:rsidRDefault="00CF1A72" w:rsidP="00CF1A72">
      <w:pPr>
        <w:ind w:right="1"/>
        <w:jc w:val="both"/>
        <w:rPr>
          <w:rFonts w:ascii="Bookman Old Style" w:hAnsi="Bookman Old Style"/>
          <w:b/>
        </w:rPr>
      </w:pPr>
      <w:r w:rsidRPr="004779AF">
        <w:rPr>
          <w:rFonts w:ascii="Bookman Old Style" w:hAnsi="Bookman Old Style"/>
          <w:b/>
        </w:rPr>
        <w:t xml:space="preserve">Beata </w:t>
      </w:r>
      <w:proofErr w:type="spellStart"/>
      <w:r w:rsidRPr="004779AF">
        <w:rPr>
          <w:rFonts w:ascii="Bookman Old Style" w:hAnsi="Bookman Old Style"/>
          <w:b/>
        </w:rPr>
        <w:t>Hlawacz</w:t>
      </w:r>
      <w:proofErr w:type="spellEnd"/>
      <w:r w:rsidRPr="004779AF">
        <w:rPr>
          <w:rFonts w:ascii="Bookman Old Style" w:hAnsi="Bookman Old Style"/>
          <w:b/>
        </w:rPr>
        <w:t xml:space="preserve"> </w:t>
      </w:r>
    </w:p>
    <w:p w:rsidR="00CF1A72" w:rsidRPr="004779AF" w:rsidRDefault="00CF1A72" w:rsidP="00CF1A72">
      <w:pPr>
        <w:ind w:right="1"/>
        <w:jc w:val="both"/>
        <w:rPr>
          <w:rFonts w:ascii="Bookman Old Style" w:hAnsi="Bookman Old Style"/>
        </w:rPr>
      </w:pPr>
      <w:r w:rsidRPr="005F2E3C">
        <w:rPr>
          <w:rFonts w:ascii="Bookman Old Style" w:hAnsi="Bookman Old Style"/>
        </w:rPr>
        <w:t xml:space="preserve">prokurator Prokuratury Okręgowej w Krakowie delegowana do Prokuratury Krajowej, </w:t>
      </w:r>
      <w:r>
        <w:rPr>
          <w:rFonts w:ascii="Bookman Old Style" w:hAnsi="Bookman Old Style"/>
        </w:rPr>
        <w:t>Z</w:t>
      </w:r>
      <w:r w:rsidRPr="005F2E3C">
        <w:rPr>
          <w:rFonts w:ascii="Bookman Old Style" w:hAnsi="Bookman Old Style"/>
        </w:rPr>
        <w:t xml:space="preserve">astępca </w:t>
      </w:r>
      <w:r>
        <w:rPr>
          <w:rFonts w:ascii="Bookman Old Style" w:hAnsi="Bookman Old Style"/>
        </w:rPr>
        <w:t>D</w:t>
      </w:r>
      <w:r w:rsidRPr="005F2E3C">
        <w:rPr>
          <w:rFonts w:ascii="Bookman Old Style" w:hAnsi="Bookman Old Style"/>
        </w:rPr>
        <w:t>yrektora Biura Współpracy Międzynarodowej</w:t>
      </w:r>
      <w:r>
        <w:rPr>
          <w:rFonts w:ascii="Bookman Old Style" w:hAnsi="Bookman Old Style"/>
        </w:rPr>
        <w:t>.</w:t>
      </w:r>
    </w:p>
    <w:p w:rsidR="00CF1A72" w:rsidRPr="001338FD" w:rsidRDefault="00CF1A72" w:rsidP="00CF1A72">
      <w:pPr>
        <w:ind w:right="1"/>
        <w:jc w:val="both"/>
        <w:rPr>
          <w:rFonts w:ascii="Bookman Old Style" w:hAnsi="Bookman Old Style"/>
          <w:b/>
          <w:sz w:val="16"/>
          <w:szCs w:val="16"/>
        </w:rPr>
      </w:pPr>
    </w:p>
    <w:p w:rsidR="00CF1A72" w:rsidRPr="00F951EA" w:rsidRDefault="00CF1A72" w:rsidP="00CF1A72">
      <w:pPr>
        <w:ind w:right="1"/>
        <w:jc w:val="both"/>
        <w:rPr>
          <w:rFonts w:ascii="Bookman Old Style" w:hAnsi="Bookman Old Style"/>
          <w:b/>
        </w:rPr>
      </w:pPr>
      <w:r w:rsidRPr="00F951EA">
        <w:rPr>
          <w:rFonts w:ascii="Bookman Old Style" w:hAnsi="Bookman Old Style"/>
          <w:b/>
        </w:rPr>
        <w:t xml:space="preserve">Sławomir </w:t>
      </w:r>
      <w:proofErr w:type="spellStart"/>
      <w:r w:rsidRPr="00F951EA">
        <w:rPr>
          <w:rFonts w:ascii="Bookman Old Style" w:hAnsi="Bookman Old Style"/>
          <w:b/>
        </w:rPr>
        <w:t>Buczma</w:t>
      </w:r>
      <w:proofErr w:type="spellEnd"/>
      <w:r w:rsidRPr="00F951EA">
        <w:rPr>
          <w:rFonts w:ascii="Bookman Old Style" w:hAnsi="Bookman Old Style"/>
          <w:b/>
        </w:rPr>
        <w:t xml:space="preserve"> </w:t>
      </w:r>
    </w:p>
    <w:p w:rsidR="00CF1A72" w:rsidRPr="00F951EA" w:rsidRDefault="00CF1A72" w:rsidP="00CF1A72">
      <w:pPr>
        <w:ind w:right="1"/>
        <w:jc w:val="both"/>
        <w:rPr>
          <w:rFonts w:ascii="Bookman Old Style" w:hAnsi="Bookman Old Style"/>
        </w:rPr>
      </w:pPr>
      <w:r w:rsidRPr="00F951EA">
        <w:rPr>
          <w:rFonts w:ascii="Bookman Old Style" w:hAnsi="Bookman Old Style"/>
        </w:rPr>
        <w:t>doktor nauk prawnych, sędzia Sądu Rejonowego w Brodnicy delegowany do Sekretariatu Generalnego Rady Unii Europej</w:t>
      </w:r>
      <w:r>
        <w:rPr>
          <w:rFonts w:ascii="Bookman Old Style" w:hAnsi="Bookman Old Style"/>
        </w:rPr>
        <w:t>skiej w Brukseli. Specjalista z </w:t>
      </w:r>
      <w:r w:rsidRPr="00F951EA">
        <w:rPr>
          <w:rFonts w:ascii="Bookman Old Style" w:hAnsi="Bookman Old Style"/>
        </w:rPr>
        <w:t xml:space="preserve">zakresu europejskiego prawa karnego, autor wielu publikacji na temat postępowania w sprawach karnych. </w:t>
      </w:r>
      <w:r>
        <w:rPr>
          <w:rFonts w:ascii="Bookman Old Style" w:hAnsi="Bookman Old Style"/>
        </w:rPr>
        <w:t>P</w:t>
      </w:r>
      <w:r w:rsidRPr="00F951EA">
        <w:rPr>
          <w:rFonts w:ascii="Bookman Old Style" w:hAnsi="Bookman Old Style"/>
        </w:rPr>
        <w:t>rzewodniczący Europejskiego Komitetu ds. Problematyki Przestępczości (CDPC) Rady Europy.</w:t>
      </w:r>
    </w:p>
    <w:p w:rsidR="00CF1A72" w:rsidRPr="007D2245" w:rsidRDefault="00CF1A72" w:rsidP="00CF1A72">
      <w:pPr>
        <w:ind w:right="1"/>
        <w:jc w:val="both"/>
        <w:rPr>
          <w:rFonts w:ascii="Bookman Old Style" w:hAnsi="Bookman Old Style"/>
          <w:sz w:val="14"/>
          <w:szCs w:val="14"/>
        </w:rPr>
      </w:pPr>
    </w:p>
    <w:p w:rsidR="00CF1A72" w:rsidRPr="00F951EA" w:rsidRDefault="00CF1A72" w:rsidP="00CF1A72">
      <w:pPr>
        <w:ind w:right="1"/>
        <w:jc w:val="both"/>
        <w:rPr>
          <w:rFonts w:ascii="Bookman Old Style" w:hAnsi="Bookman Old Style"/>
          <w:b/>
        </w:rPr>
      </w:pPr>
      <w:r w:rsidRPr="00F951EA">
        <w:rPr>
          <w:rFonts w:ascii="Bookman Old Style" w:hAnsi="Bookman Old Style"/>
          <w:b/>
        </w:rPr>
        <w:t xml:space="preserve">Rafał </w:t>
      </w:r>
      <w:proofErr w:type="spellStart"/>
      <w:r w:rsidRPr="00F951EA">
        <w:rPr>
          <w:rFonts w:ascii="Bookman Old Style" w:hAnsi="Bookman Old Style"/>
          <w:b/>
        </w:rPr>
        <w:t>Kierzynka</w:t>
      </w:r>
      <w:proofErr w:type="spellEnd"/>
      <w:r w:rsidRPr="00F951EA">
        <w:rPr>
          <w:rFonts w:ascii="Bookman Old Style" w:hAnsi="Bookman Old Style"/>
          <w:b/>
        </w:rPr>
        <w:t xml:space="preserve"> </w:t>
      </w:r>
    </w:p>
    <w:p w:rsidR="00CF1A72" w:rsidRDefault="00CF1A72" w:rsidP="00CF1A72">
      <w:pPr>
        <w:ind w:right="1"/>
        <w:jc w:val="both"/>
        <w:rPr>
          <w:rFonts w:ascii="Bookman Old Style" w:hAnsi="Bookman Old Style"/>
        </w:rPr>
      </w:pPr>
      <w:r w:rsidRPr="00F951EA">
        <w:rPr>
          <w:rFonts w:ascii="Bookman Old Style" w:hAnsi="Bookman Old Style"/>
        </w:rPr>
        <w:t xml:space="preserve">doktor nauk prawnych, sędzia Sądu Okręgowego w Gorzowie Wlkp. delegowany do Ministerstwa Sprawiedliwości, naczelnik Wydziału Europejskiego i Międzynarodowego Prawa Karnego Departamentu Legislacyjnego. Autor wielu publikacji z zakresu europejskiego prawa karnego. Przedstawiciel Polski w instytucjach Rady Europy i Unii Europejskiej zajmujących się prawem karnym. </w:t>
      </w:r>
    </w:p>
    <w:p w:rsidR="00CF1A72" w:rsidRPr="007D2245" w:rsidRDefault="00CF1A72" w:rsidP="00CF1A72">
      <w:pPr>
        <w:ind w:right="1"/>
        <w:jc w:val="both"/>
        <w:rPr>
          <w:rFonts w:ascii="Bookman Old Style" w:hAnsi="Bookman Old Style"/>
          <w:sz w:val="14"/>
          <w:szCs w:val="14"/>
        </w:rPr>
      </w:pPr>
    </w:p>
    <w:p w:rsidR="00CF1A72" w:rsidRPr="00F951EA" w:rsidRDefault="00CF1A72" w:rsidP="00CF1A72">
      <w:pPr>
        <w:ind w:right="1"/>
        <w:jc w:val="both"/>
        <w:rPr>
          <w:rFonts w:ascii="Bookman Old Style" w:hAnsi="Bookman Old Style"/>
        </w:rPr>
      </w:pPr>
      <w:r w:rsidRPr="00F951EA">
        <w:rPr>
          <w:rFonts w:ascii="Bookman Old Style" w:hAnsi="Bookman Old Style"/>
        </w:rPr>
        <w:t>Zajęcia prowadzone będą w formie seminarium i warsztat</w:t>
      </w:r>
      <w:r>
        <w:rPr>
          <w:rFonts w:ascii="Bookman Old Style" w:hAnsi="Bookman Old Style"/>
        </w:rPr>
        <w:t>ów</w:t>
      </w:r>
      <w:r w:rsidRPr="00F951EA">
        <w:rPr>
          <w:rFonts w:ascii="Bookman Old Style" w:hAnsi="Bookman Old Style"/>
        </w:rPr>
        <w:t>.</w:t>
      </w:r>
    </w:p>
    <w:p w:rsidR="00CF1A72" w:rsidRPr="00BF1F92" w:rsidRDefault="00CF1A72" w:rsidP="00CF1A72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CF1A72" w:rsidRPr="002D2B81" w:rsidRDefault="00CF1A72" w:rsidP="00CF1A72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F1A72" w:rsidRPr="007D2245" w:rsidRDefault="00CF1A72" w:rsidP="00CF1A72">
      <w:pPr>
        <w:ind w:right="-709"/>
        <w:rPr>
          <w:rFonts w:ascii="Bookman Old Style" w:hAnsi="Bookman Old Style"/>
          <w:b/>
          <w:sz w:val="10"/>
          <w:szCs w:val="10"/>
        </w:rPr>
      </w:pPr>
    </w:p>
    <w:p w:rsidR="00CF1A72" w:rsidRPr="00CE5F93" w:rsidRDefault="00D673BA" w:rsidP="00CF1A7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6" o:title="BD14845_" croptop="34079f"/>
          </v:shape>
        </w:pict>
      </w:r>
    </w:p>
    <w:p w:rsidR="00CF1A72" w:rsidRPr="00494308" w:rsidRDefault="00CF1A72" w:rsidP="00CF1A7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26 września 2018 r.</w:t>
      </w:r>
    </w:p>
    <w:p w:rsidR="00CF1A72" w:rsidRPr="001E61D0" w:rsidRDefault="00D673BA" w:rsidP="00CF1A7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6" o:title="BD14845_" croptop="34079f"/>
          </v:shape>
        </w:pict>
      </w:r>
    </w:p>
    <w:p w:rsidR="00CF1A72" w:rsidRDefault="00CF1A72" w:rsidP="00CF1A72">
      <w:pPr>
        <w:ind w:left="2124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12.00</w:t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odjazd autokaru z Warszaw</w:t>
      </w:r>
      <w:r>
        <w:rPr>
          <w:rFonts w:ascii="Bookman Old Style" w:hAnsi="Bookman Old Style"/>
        </w:rPr>
        <w:t>y (parking przy Pałacu Kultury i </w:t>
      </w:r>
      <w:r w:rsidRPr="003937F2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uki od strony Muzeum Techniki) </w:t>
      </w:r>
      <w:r w:rsidRPr="003937F2">
        <w:rPr>
          <w:rFonts w:ascii="Bookman Old Style" w:hAnsi="Bookman Old Style"/>
        </w:rPr>
        <w:t xml:space="preserve">autokar za przednią szybą będzie posiadał tabliczkę 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:rsidR="00CF1A72" w:rsidRPr="00E72611" w:rsidRDefault="00CF1A72" w:rsidP="00CF1A72">
      <w:pPr>
        <w:jc w:val="both"/>
        <w:rPr>
          <w:rFonts w:ascii="Bookman Old Style" w:hAnsi="Bookman Old Style"/>
          <w:sz w:val="16"/>
          <w:szCs w:val="16"/>
        </w:rPr>
      </w:pPr>
    </w:p>
    <w:p w:rsidR="00CF1A72" w:rsidRDefault="00CF1A72" w:rsidP="00CF1A72">
      <w:pPr>
        <w:tabs>
          <w:tab w:val="left" w:pos="567"/>
          <w:tab w:val="left" w:pos="198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przyjazd i zakwaterowanie uczestników</w:t>
      </w:r>
    </w:p>
    <w:p w:rsidR="00CF1A72" w:rsidRPr="00E72611" w:rsidRDefault="00CF1A72" w:rsidP="00CF1A72">
      <w:pPr>
        <w:jc w:val="both"/>
        <w:rPr>
          <w:rFonts w:ascii="Bookman Old Style" w:hAnsi="Bookman Old Style"/>
          <w:sz w:val="16"/>
          <w:szCs w:val="16"/>
        </w:rPr>
      </w:pPr>
    </w:p>
    <w:p w:rsidR="00CF1A72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  <w:t>obiad</w:t>
      </w:r>
    </w:p>
    <w:p w:rsidR="00CF1A72" w:rsidRPr="00E72611" w:rsidRDefault="00CF1A72" w:rsidP="00CF1A72">
      <w:pPr>
        <w:jc w:val="both"/>
        <w:rPr>
          <w:rFonts w:ascii="Bookman Old Style" w:hAnsi="Bookman Old Style"/>
          <w:sz w:val="16"/>
          <w:szCs w:val="16"/>
        </w:rPr>
      </w:pPr>
    </w:p>
    <w:p w:rsidR="00CF1A72" w:rsidRDefault="00CF1A72" w:rsidP="00CF1A72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14.30 – 16.45</w:t>
      </w:r>
      <w:r>
        <w:rPr>
          <w:rFonts w:ascii="Bookman Old Style" w:hAnsi="Bookman Old Style"/>
          <w:b/>
        </w:rPr>
        <w:tab/>
        <w:t xml:space="preserve">Konwencyjne instrumenty współpracy w sprawach karnych. </w:t>
      </w:r>
    </w:p>
    <w:p w:rsidR="00CF1A72" w:rsidRPr="00972599" w:rsidRDefault="00CF1A72" w:rsidP="00CF1A72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Konwencja Rady Europy z 1959 r.</w:t>
      </w:r>
    </w:p>
    <w:p w:rsidR="00CF1A72" w:rsidRPr="00972599" w:rsidRDefault="00CF1A72" w:rsidP="00CF1A72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Konwencja Unii Europejskiej z 2000 r.</w:t>
      </w:r>
    </w:p>
    <w:p w:rsidR="00CF1A72" w:rsidRPr="00972599" w:rsidRDefault="00CF1A72" w:rsidP="00CF1A72">
      <w:pPr>
        <w:pStyle w:val="Akapitzlist"/>
        <w:numPr>
          <w:ilvl w:val="0"/>
          <w:numId w:val="3"/>
        </w:numPr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 xml:space="preserve">Umowy dwustronne. </w:t>
      </w:r>
    </w:p>
    <w:p w:rsidR="00CF1A72" w:rsidRPr="00972599" w:rsidRDefault="00CF1A72" w:rsidP="00CF1A72">
      <w:pPr>
        <w:ind w:left="720"/>
        <w:jc w:val="both"/>
        <w:rPr>
          <w:rFonts w:ascii="Bookman Old Style" w:hAnsi="Bookman Old Style"/>
        </w:rPr>
      </w:pPr>
      <w:r w:rsidRPr="008F083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972599">
        <w:rPr>
          <w:rFonts w:ascii="Bookman Old Style" w:hAnsi="Bookman Old Style"/>
        </w:rPr>
        <w:t xml:space="preserve">Prowadzenie – Beata </w:t>
      </w:r>
      <w:proofErr w:type="spellStart"/>
      <w:r w:rsidRPr="00972599">
        <w:rPr>
          <w:rFonts w:ascii="Bookman Old Style" w:hAnsi="Bookman Old Style"/>
        </w:rPr>
        <w:t>Hlawacz</w:t>
      </w:r>
      <w:proofErr w:type="spellEnd"/>
    </w:p>
    <w:p w:rsidR="00CF1A72" w:rsidRPr="00E72611" w:rsidRDefault="00CF1A72" w:rsidP="00CF1A72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CF1A72" w:rsidRDefault="00CF1A72" w:rsidP="00CF1A7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>16.45 – 17.00</w:t>
      </w:r>
      <w:r>
        <w:rPr>
          <w:rFonts w:ascii="Bookman Old Style" w:hAnsi="Bookman Old Style"/>
        </w:rPr>
        <w:tab/>
        <w:t>przerwa</w:t>
      </w:r>
    </w:p>
    <w:p w:rsidR="00CF1A72" w:rsidRPr="00E72611" w:rsidRDefault="00CF1A72" w:rsidP="00CF1A72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CF1A72" w:rsidRPr="008F083F" w:rsidRDefault="00CF1A72" w:rsidP="00CF1A72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17.00 – 18.30</w:t>
      </w:r>
      <w:r>
        <w:rPr>
          <w:rFonts w:ascii="Bookman Old Style" w:hAnsi="Bookman Old Style"/>
          <w:b/>
        </w:rPr>
        <w:tab/>
      </w:r>
      <w:r w:rsidRPr="008F083F">
        <w:rPr>
          <w:rFonts w:ascii="Bookman Old Style" w:hAnsi="Bookman Old Style"/>
          <w:b/>
        </w:rPr>
        <w:t>Europejski nakaz dochodzeniowy (END) - nowy model pomocy prawnej w sprawach karnych.</w:t>
      </w:r>
    </w:p>
    <w:p w:rsidR="00CF1A72" w:rsidRPr="00972599" w:rsidRDefault="00CF1A72" w:rsidP="00CF1A72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Czasowy i przedmiotowy zakres END.</w:t>
      </w:r>
    </w:p>
    <w:p w:rsidR="00CF1A72" w:rsidRPr="00972599" w:rsidRDefault="00CF1A72" w:rsidP="00CF1A72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 xml:space="preserve">Przesłanki wydania. </w:t>
      </w:r>
      <w:r w:rsidRPr="00972599">
        <w:rPr>
          <w:rFonts w:ascii="Bookman Old Style" w:hAnsi="Bookman Old Style"/>
        </w:rPr>
        <w:tab/>
      </w:r>
    </w:p>
    <w:p w:rsidR="00CF1A72" w:rsidRPr="00972599" w:rsidRDefault="00CF1A72" w:rsidP="00CF1A72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Przesłanki wykonania END.</w:t>
      </w:r>
    </w:p>
    <w:p w:rsidR="00CF1A72" w:rsidRPr="00972599" w:rsidRDefault="00CF1A72" w:rsidP="00CF1A72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Procedura wydania i wykonania END.</w:t>
      </w:r>
    </w:p>
    <w:p w:rsidR="00CF1A72" w:rsidRPr="00972599" w:rsidRDefault="00CF1A72" w:rsidP="00CF1A72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 xml:space="preserve">Przesłanki odmowy wykonania. </w:t>
      </w:r>
    </w:p>
    <w:p w:rsidR="00CF1A72" w:rsidRPr="00972599" w:rsidRDefault="00CF1A72" w:rsidP="00CF1A72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Zaświadczenie w sprawie END.</w:t>
      </w:r>
    </w:p>
    <w:p w:rsidR="00CF1A72" w:rsidRPr="00E72611" w:rsidRDefault="00CF1A72" w:rsidP="00CF1A72">
      <w:pPr>
        <w:ind w:left="2832" w:hanging="708"/>
        <w:jc w:val="both"/>
        <w:rPr>
          <w:rFonts w:ascii="Bookman Old Style" w:hAnsi="Bookman Old Style"/>
        </w:rPr>
      </w:pPr>
      <w:r w:rsidRPr="00E72611">
        <w:rPr>
          <w:rFonts w:ascii="Bookman Old Style" w:hAnsi="Bookman Old Style"/>
        </w:rPr>
        <w:t xml:space="preserve">Prowadzenie – Beata </w:t>
      </w:r>
      <w:proofErr w:type="spellStart"/>
      <w:r w:rsidRPr="00E72611">
        <w:rPr>
          <w:rFonts w:ascii="Bookman Old Style" w:hAnsi="Bookman Old Style"/>
        </w:rPr>
        <w:t>Hlawacz</w:t>
      </w:r>
      <w:proofErr w:type="spellEnd"/>
      <w:r w:rsidRPr="00E72611">
        <w:rPr>
          <w:rFonts w:ascii="Bookman Old Style" w:hAnsi="Bookman Old Style"/>
        </w:rPr>
        <w:t xml:space="preserve"> /Rafał </w:t>
      </w:r>
      <w:proofErr w:type="spellStart"/>
      <w:r w:rsidRPr="00E72611">
        <w:rPr>
          <w:rFonts w:ascii="Bookman Old Style" w:hAnsi="Bookman Old Style"/>
        </w:rPr>
        <w:t>Kierzynka</w:t>
      </w:r>
      <w:proofErr w:type="spellEnd"/>
    </w:p>
    <w:p w:rsidR="00CF1A72" w:rsidRPr="001338FD" w:rsidRDefault="00CF1A72" w:rsidP="00CF1A72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  <w:r w:rsidRPr="00BF1F92">
        <w:rPr>
          <w:rFonts w:ascii="Bookman Old Style" w:hAnsi="Bookman Old Style"/>
          <w:b/>
        </w:rPr>
        <w:tab/>
      </w:r>
    </w:p>
    <w:p w:rsidR="00CF1A72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</w:t>
      </w:r>
      <w:r w:rsidRPr="00CC04FB">
        <w:rPr>
          <w:rFonts w:ascii="Bookman Old Style" w:hAnsi="Bookman Old Style"/>
        </w:rPr>
        <w:t>olacja</w:t>
      </w:r>
    </w:p>
    <w:p w:rsidR="00CF1A72" w:rsidRDefault="00CF1A72" w:rsidP="00CF1A72">
      <w:pPr>
        <w:jc w:val="both"/>
        <w:rPr>
          <w:rFonts w:ascii="Bookman Old Style" w:hAnsi="Bookman Old Style"/>
        </w:rPr>
      </w:pPr>
    </w:p>
    <w:p w:rsidR="00CF1A72" w:rsidRPr="00004584" w:rsidRDefault="00D673BA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6" o:title="BD14845_" croptop="34079f"/>
          </v:shape>
        </w:pict>
      </w:r>
    </w:p>
    <w:p w:rsidR="00CF1A72" w:rsidRPr="00CC04FB" w:rsidRDefault="00CF1A72" w:rsidP="00CF1A7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CZWARTEK  </w:t>
      </w:r>
      <w:r>
        <w:rPr>
          <w:rFonts w:ascii="Bookman Old Style" w:hAnsi="Bookman Old Style"/>
          <w:b/>
        </w:rPr>
        <w:tab/>
        <w:t>27 września 2018 r.</w:t>
      </w:r>
    </w:p>
    <w:p w:rsidR="00CF1A72" w:rsidRPr="00977F14" w:rsidRDefault="00D673BA" w:rsidP="00CF1A72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:rsidR="00CF1A72" w:rsidRDefault="00CF1A72" w:rsidP="00CF1A72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  <w:t>śniadanie</w:t>
      </w:r>
    </w:p>
    <w:p w:rsidR="00CF1A72" w:rsidRPr="00BD45BB" w:rsidRDefault="00CF1A72" w:rsidP="00CF1A72">
      <w:pPr>
        <w:tabs>
          <w:tab w:val="left" w:pos="2430"/>
        </w:tabs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CF1A72" w:rsidRPr="00E268E3" w:rsidRDefault="00CF1A72" w:rsidP="00CF1A7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E31ED1">
        <w:rPr>
          <w:rFonts w:ascii="Bookman Old Style" w:hAnsi="Bookman Old Style"/>
          <w:b/>
        </w:rPr>
        <w:t>Skutki Traktatu z Lizbony dla sądów i prokuratorów.</w:t>
      </w:r>
    </w:p>
    <w:p w:rsidR="00CF1A72" w:rsidRPr="00E268E3" w:rsidRDefault="00CF1A72" w:rsidP="00CF1A72">
      <w:pPr>
        <w:pStyle w:val="Akapitzlist"/>
        <w:numPr>
          <w:ilvl w:val="0"/>
          <w:numId w:val="5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Traktat z Lizbony i jego skutki dla praktyków wymiaru sprawiedliwości.  </w:t>
      </w:r>
    </w:p>
    <w:p w:rsidR="00CF1A72" w:rsidRPr="00E268E3" w:rsidRDefault="00CF1A72" w:rsidP="00CF1A72">
      <w:pPr>
        <w:pStyle w:val="Akapitzlist"/>
        <w:numPr>
          <w:ilvl w:val="0"/>
          <w:numId w:val="5"/>
        </w:numPr>
        <w:rPr>
          <w:rFonts w:ascii="Bookman Old Style" w:hAnsi="Bookman Old Style"/>
        </w:rPr>
      </w:pPr>
      <w:proofErr w:type="spellStart"/>
      <w:r w:rsidRPr="00E268E3">
        <w:rPr>
          <w:rFonts w:ascii="Bookman Old Style" w:hAnsi="Bookman Old Style"/>
        </w:rPr>
        <w:t>Prounijna</w:t>
      </w:r>
      <w:proofErr w:type="spellEnd"/>
      <w:r w:rsidRPr="00E268E3">
        <w:rPr>
          <w:rFonts w:ascii="Bookman Old Style" w:hAnsi="Bookman Old Style"/>
        </w:rPr>
        <w:t xml:space="preserve"> wykładnia prawa krajowego. </w:t>
      </w:r>
    </w:p>
    <w:p w:rsidR="00CF1A72" w:rsidRPr="00E268E3" w:rsidRDefault="00CF1A72" w:rsidP="00CF1A72">
      <w:pPr>
        <w:pStyle w:val="Akapitzlist"/>
        <w:numPr>
          <w:ilvl w:val="0"/>
          <w:numId w:val="5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Zasada pierwszeństwa prawa unijnego. </w:t>
      </w:r>
    </w:p>
    <w:p w:rsidR="00CF1A72" w:rsidRPr="00E268E3" w:rsidRDefault="00CF1A72" w:rsidP="00CF1A72">
      <w:pPr>
        <w:pStyle w:val="Akapitzlist"/>
        <w:numPr>
          <w:ilvl w:val="0"/>
          <w:numId w:val="5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Bezpośrednia skuteczność prawa unijnego. </w:t>
      </w:r>
    </w:p>
    <w:p w:rsidR="00CF1A72" w:rsidRPr="00E268E3" w:rsidRDefault="00CF1A72" w:rsidP="00CF1A72">
      <w:pPr>
        <w:pStyle w:val="Akapitzlist"/>
        <w:numPr>
          <w:ilvl w:val="0"/>
          <w:numId w:val="5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Pytania prejudycjalne do Trybunału Sprawiedliwości UE. </w:t>
      </w:r>
    </w:p>
    <w:p w:rsidR="00CF1A72" w:rsidRPr="00E268E3" w:rsidRDefault="00CF1A72" w:rsidP="00CF1A72">
      <w:pPr>
        <w:ind w:left="2832" w:hanging="708"/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Prowadzenie – Sławomir </w:t>
      </w:r>
      <w:proofErr w:type="spellStart"/>
      <w:r w:rsidRPr="00E268E3">
        <w:rPr>
          <w:rFonts w:ascii="Bookman Old Style" w:hAnsi="Bookman Old Style"/>
        </w:rPr>
        <w:t>Buczma</w:t>
      </w:r>
      <w:proofErr w:type="spellEnd"/>
      <w:r w:rsidRPr="00E268E3">
        <w:rPr>
          <w:rFonts w:ascii="Bookman Old Style" w:hAnsi="Bookman Old Style"/>
        </w:rPr>
        <w:t xml:space="preserve">/Rafał </w:t>
      </w:r>
      <w:proofErr w:type="spellStart"/>
      <w:r w:rsidRPr="00E268E3">
        <w:rPr>
          <w:rFonts w:ascii="Bookman Old Style" w:hAnsi="Bookman Old Style"/>
        </w:rPr>
        <w:t>Kierzynka</w:t>
      </w:r>
      <w:proofErr w:type="spellEnd"/>
    </w:p>
    <w:p w:rsidR="00CF1A72" w:rsidRPr="00BD45BB" w:rsidRDefault="00CF1A72" w:rsidP="00CF1A72">
      <w:pPr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CF1A72" w:rsidRPr="00982C47" w:rsidRDefault="00CF1A72" w:rsidP="00CF1A72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>przerwa</w:t>
      </w:r>
    </w:p>
    <w:p w:rsidR="00CF1A72" w:rsidRPr="00BD45BB" w:rsidRDefault="00CF1A72" w:rsidP="00CF1A72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CF1A72" w:rsidRPr="00BD45BB" w:rsidRDefault="00CF1A72" w:rsidP="00CF1A72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12.15</w:t>
      </w:r>
      <w:r>
        <w:rPr>
          <w:rFonts w:ascii="Bookman Old Style" w:hAnsi="Bookman Old Style"/>
          <w:b/>
        </w:rPr>
        <w:tab/>
      </w:r>
      <w:r w:rsidRPr="00E31ED1">
        <w:rPr>
          <w:rFonts w:ascii="Bookman Old Style" w:hAnsi="Bookman Old Style"/>
          <w:b/>
        </w:rPr>
        <w:t>Wzajemne uznawanie orzeczeń karnych w UE – przegląd istniejących rozwiązań.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Zatrzymanie dowodów i zabezpieczenie mienia.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Europejski nakaz aresztowania.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Wzajemne uznawanie wolnościowych środków zapobiegawczych.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Wzajemne uznawanie kar o charakterze pieniężnym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Wzajemne uznawanie przepadku. 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Wzajemne uznawanie kar pozbawienia wolności. 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Wzajemne uznawanie kar i środków probacyjnych. </w:t>
      </w:r>
    </w:p>
    <w:p w:rsidR="00CF1A72" w:rsidRPr="00E31ED1" w:rsidRDefault="00CF1A72" w:rsidP="00CF1A72">
      <w:pPr>
        <w:numPr>
          <w:ilvl w:val="0"/>
          <w:numId w:val="1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Europejski nakaz ochrony. </w:t>
      </w:r>
    </w:p>
    <w:p w:rsidR="00CF1A72" w:rsidRPr="00BD45BB" w:rsidRDefault="00CF1A72" w:rsidP="00CF1A72">
      <w:pPr>
        <w:ind w:left="1416" w:firstLine="708"/>
        <w:rPr>
          <w:rFonts w:ascii="Bookman Old Style" w:hAnsi="Bookman Old Style"/>
        </w:rPr>
      </w:pP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Buczma</w:t>
      </w:r>
      <w:proofErr w:type="spellEnd"/>
      <w:r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CF1A72" w:rsidRPr="00BD45BB" w:rsidRDefault="00CF1A72" w:rsidP="00CF1A72">
      <w:pPr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CF1A72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12.30</w:t>
      </w:r>
      <w:r w:rsidRPr="002C393B">
        <w:rPr>
          <w:rFonts w:ascii="Bookman Old Style" w:hAnsi="Bookman Old Style"/>
        </w:rPr>
        <w:t xml:space="preserve"> </w:t>
      </w:r>
      <w:r w:rsidRPr="002C39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przerwa</w:t>
      </w:r>
    </w:p>
    <w:p w:rsidR="00CF1A72" w:rsidRPr="00BD45BB" w:rsidRDefault="00CF1A72" w:rsidP="00CF1A72">
      <w:pPr>
        <w:jc w:val="both"/>
        <w:rPr>
          <w:rFonts w:ascii="Bookman Old Style" w:hAnsi="Bookman Old Style"/>
          <w:sz w:val="16"/>
          <w:szCs w:val="16"/>
        </w:rPr>
      </w:pPr>
    </w:p>
    <w:p w:rsidR="00CF1A72" w:rsidRPr="00636D78" w:rsidRDefault="00CF1A72" w:rsidP="00CF1A72">
      <w:pPr>
        <w:jc w:val="both"/>
        <w:rPr>
          <w:rFonts w:ascii="Bookman Old Style" w:hAnsi="Bookman Old Style"/>
          <w:b/>
        </w:rPr>
      </w:pPr>
      <w:r w:rsidRPr="00636D78">
        <w:rPr>
          <w:rFonts w:ascii="Bookman Old Style" w:hAnsi="Bookman Old Style"/>
          <w:b/>
        </w:rPr>
        <w:t xml:space="preserve">12.30 – 14.00 </w:t>
      </w:r>
      <w:r w:rsidRPr="00636D78">
        <w:rPr>
          <w:rFonts w:ascii="Bookman Old Style" w:hAnsi="Bookman Old Style"/>
          <w:b/>
        </w:rPr>
        <w:tab/>
        <w:t>Europejski nakaz aresztowania.</w:t>
      </w:r>
    </w:p>
    <w:p w:rsidR="00CF1A72" w:rsidRPr="00636D78" w:rsidRDefault="00CF1A72" w:rsidP="00CF1A72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 xml:space="preserve">Przesłanki wydania ENA. </w:t>
      </w:r>
    </w:p>
    <w:p w:rsidR="00CF1A72" w:rsidRPr="00636D78" w:rsidRDefault="00CF1A72" w:rsidP="00CF1A72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Procedura wydania i wykonania ENA.</w:t>
      </w:r>
    </w:p>
    <w:p w:rsidR="00CF1A72" w:rsidRPr="00636D78" w:rsidRDefault="00CF1A72" w:rsidP="00CF1A72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Przesłanki odmowy wykonania ENA.</w:t>
      </w:r>
    </w:p>
    <w:p w:rsidR="00CF1A72" w:rsidRPr="00636D78" w:rsidRDefault="00CF1A72" w:rsidP="00CF1A72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Przegląd aktualnego orzecznictwa sądów polskich i międzynarodowych w sprawach ENA.</w:t>
      </w:r>
    </w:p>
    <w:p w:rsidR="00CF1A72" w:rsidRPr="00BD45BB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Buczma</w:t>
      </w:r>
      <w:proofErr w:type="spellEnd"/>
      <w:r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CF1A72" w:rsidRPr="00BD45BB" w:rsidRDefault="00CF1A72" w:rsidP="00CF1A72">
      <w:pPr>
        <w:jc w:val="both"/>
        <w:rPr>
          <w:rFonts w:ascii="Bookman Old Style" w:hAnsi="Bookman Old Style"/>
          <w:sz w:val="16"/>
          <w:szCs w:val="16"/>
        </w:rPr>
      </w:pPr>
    </w:p>
    <w:p w:rsidR="00CF1A72" w:rsidRPr="002C393B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obiad</w:t>
      </w:r>
    </w:p>
    <w:p w:rsidR="00CF1A72" w:rsidRPr="00BD45BB" w:rsidRDefault="00CF1A72" w:rsidP="00CF1A72">
      <w:pPr>
        <w:ind w:left="2880" w:hanging="2880"/>
        <w:rPr>
          <w:rFonts w:ascii="Bookman Old Style" w:hAnsi="Bookman Old Style"/>
          <w:b/>
          <w:sz w:val="16"/>
          <w:szCs w:val="16"/>
        </w:rPr>
      </w:pPr>
    </w:p>
    <w:p w:rsidR="00CF1A72" w:rsidRPr="00E31ED1" w:rsidRDefault="00CF1A72" w:rsidP="00CF1A72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r w:rsidRPr="00E31ED1">
        <w:rPr>
          <w:rFonts w:ascii="Bookman Old Style" w:hAnsi="Bookman Old Style"/>
          <w:b/>
        </w:rPr>
        <w:t>Wzajemne uznawanie kar pozbawienia wolności.</w:t>
      </w:r>
    </w:p>
    <w:p w:rsidR="00CF1A72" w:rsidRPr="00E31ED1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Czasowy i przedmiotowy zakres stosowania. </w:t>
      </w:r>
    </w:p>
    <w:p w:rsidR="00CF1A72" w:rsidRPr="00E31ED1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Przesłanki wystąpienia o wykonanie kary. </w:t>
      </w:r>
    </w:p>
    <w:p w:rsidR="00CF1A72" w:rsidRPr="00E31ED1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Procedura wystąpienia i wykonania kary.</w:t>
      </w:r>
    </w:p>
    <w:p w:rsidR="00CF1A72" w:rsidRPr="00E31ED1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Przesłanki odmowy wykonania kary.</w:t>
      </w:r>
    </w:p>
    <w:p w:rsidR="00CF1A72" w:rsidRPr="00BD45BB" w:rsidRDefault="00CF1A72" w:rsidP="00CF1A72">
      <w:pPr>
        <w:ind w:left="1416" w:firstLine="708"/>
        <w:rPr>
          <w:rFonts w:ascii="Bookman Old Style" w:hAnsi="Bookman Old Style"/>
        </w:rPr>
      </w:pP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Buczma</w:t>
      </w:r>
      <w:proofErr w:type="spellEnd"/>
      <w:r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CF1A72" w:rsidRPr="00BD45BB" w:rsidRDefault="00CF1A72" w:rsidP="00CF1A72">
      <w:pPr>
        <w:ind w:left="2880" w:hanging="2880"/>
        <w:rPr>
          <w:rFonts w:ascii="Bookman Old Style" w:hAnsi="Bookman Old Style"/>
          <w:b/>
          <w:sz w:val="16"/>
          <w:szCs w:val="16"/>
        </w:rPr>
      </w:pPr>
    </w:p>
    <w:p w:rsidR="00CF1A72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CF1A72" w:rsidRDefault="00CF1A72" w:rsidP="00CF1A72">
      <w:pPr>
        <w:jc w:val="both"/>
        <w:rPr>
          <w:rFonts w:ascii="Bookman Old Style" w:hAnsi="Bookman Old Style"/>
        </w:rPr>
      </w:pPr>
    </w:p>
    <w:p w:rsidR="00CF1A72" w:rsidRDefault="00CF1A72" w:rsidP="00CF1A72">
      <w:pPr>
        <w:jc w:val="both"/>
        <w:rPr>
          <w:rFonts w:ascii="Bookman Old Style" w:hAnsi="Bookman Old Style"/>
        </w:rPr>
      </w:pPr>
    </w:p>
    <w:p w:rsidR="00CF1A72" w:rsidRDefault="00CF1A72" w:rsidP="00CF1A72">
      <w:pPr>
        <w:jc w:val="both"/>
        <w:rPr>
          <w:rFonts w:ascii="Bookman Old Style" w:hAnsi="Bookman Old Style"/>
        </w:rPr>
      </w:pPr>
    </w:p>
    <w:p w:rsidR="00CF1A72" w:rsidRDefault="00CF1A72" w:rsidP="00CF1A72">
      <w:pPr>
        <w:jc w:val="both"/>
        <w:rPr>
          <w:rFonts w:ascii="Bookman Old Style" w:hAnsi="Bookman Old Style"/>
        </w:rPr>
      </w:pPr>
    </w:p>
    <w:p w:rsidR="00CF1A72" w:rsidRPr="00004584" w:rsidRDefault="00D673BA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41" type="#_x0000_t75" style="width:470.6pt;height:6.25pt" o:hrpct="0" o:hralign="center" o:hr="t">
            <v:imagedata r:id="rId6" o:title="BD14845_" croptop="34079f"/>
          </v:shape>
        </w:pict>
      </w:r>
    </w:p>
    <w:p w:rsidR="00CF1A72" w:rsidRPr="00A95AFC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28 września 2018 r.</w:t>
      </w:r>
    </w:p>
    <w:p w:rsidR="00CF1A72" w:rsidRDefault="00D673BA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6" o:title="BD14845_" croptop="34079f"/>
          </v:shape>
        </w:pict>
      </w:r>
    </w:p>
    <w:p w:rsidR="00CF1A72" w:rsidRDefault="00CF1A72" w:rsidP="00CF1A7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  <w:t>śniadanie</w:t>
      </w:r>
    </w:p>
    <w:p w:rsidR="00CF1A72" w:rsidRPr="00BD45BB" w:rsidRDefault="00CF1A72" w:rsidP="00CF1A72">
      <w:pPr>
        <w:jc w:val="both"/>
        <w:rPr>
          <w:rFonts w:ascii="Bookman Old Style" w:hAnsi="Bookman Old Style"/>
          <w:sz w:val="16"/>
          <w:szCs w:val="16"/>
        </w:rPr>
      </w:pPr>
    </w:p>
    <w:p w:rsidR="00CF1A72" w:rsidRPr="00E31ED1" w:rsidRDefault="00CF1A72" w:rsidP="00CF1A72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11.15</w:t>
      </w:r>
      <w:r>
        <w:rPr>
          <w:rFonts w:ascii="Bookman Old Style" w:hAnsi="Bookman Old Style"/>
          <w:b/>
        </w:rPr>
        <w:tab/>
      </w:r>
      <w:r w:rsidRPr="00E31ED1">
        <w:rPr>
          <w:rFonts w:ascii="Bookman Old Style" w:hAnsi="Bookman Old Style"/>
          <w:b/>
        </w:rPr>
        <w:t xml:space="preserve">Wzajemne uznawanie kar o charakterze pieniężnym. </w:t>
      </w:r>
    </w:p>
    <w:p w:rsidR="00CF1A72" w:rsidRPr="00636D78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 xml:space="preserve">Przedmiotowy zakres stosowania. </w:t>
      </w:r>
    </w:p>
    <w:p w:rsidR="00CF1A72" w:rsidRPr="00636D78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 xml:space="preserve">Przesłanki wystąpienia o wykonanie kary. </w:t>
      </w:r>
    </w:p>
    <w:p w:rsidR="00CF1A72" w:rsidRPr="00636D78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Procedura wystąpienia i wykonania kary.</w:t>
      </w:r>
    </w:p>
    <w:p w:rsidR="00CF1A72" w:rsidRPr="00636D78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Przesłanki odmowy wykonania kary.</w:t>
      </w:r>
    </w:p>
    <w:p w:rsidR="00CF1A72" w:rsidRPr="00636D78" w:rsidRDefault="00CF1A72" w:rsidP="00CF1A72">
      <w:pPr>
        <w:numPr>
          <w:ilvl w:val="0"/>
          <w:numId w:val="2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Problemy praktyczne.</w:t>
      </w:r>
    </w:p>
    <w:p w:rsidR="00CF1A72" w:rsidRPr="00BD45BB" w:rsidRDefault="00CF1A72" w:rsidP="00CF1A72">
      <w:pPr>
        <w:ind w:left="2832" w:hanging="708"/>
        <w:rPr>
          <w:rFonts w:ascii="Bookman Old Style" w:hAnsi="Bookman Old Style"/>
        </w:rPr>
      </w:pP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Buczma</w:t>
      </w:r>
      <w:proofErr w:type="spellEnd"/>
      <w:r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CF1A72" w:rsidRPr="00BD45BB" w:rsidRDefault="00CF1A72" w:rsidP="00CF1A72">
      <w:pPr>
        <w:rPr>
          <w:rFonts w:ascii="Bookman Old Style" w:hAnsi="Bookman Old Style"/>
          <w:sz w:val="16"/>
          <w:szCs w:val="16"/>
        </w:rPr>
      </w:pPr>
    </w:p>
    <w:p w:rsidR="00CF1A72" w:rsidRDefault="00CF1A72" w:rsidP="00CF1A7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11.15 – 12.00</w:t>
      </w:r>
      <w:r>
        <w:rPr>
          <w:rFonts w:ascii="Bookman Old Style" w:hAnsi="Bookman Old Style"/>
        </w:rPr>
        <w:tab/>
        <w:t>obiad</w:t>
      </w:r>
    </w:p>
    <w:p w:rsidR="00CF1A72" w:rsidRPr="00BD45BB" w:rsidRDefault="00CF1A72" w:rsidP="00CF1A72">
      <w:pPr>
        <w:jc w:val="both"/>
        <w:rPr>
          <w:rFonts w:ascii="Bookman Old Style" w:hAnsi="Bookman Old Style"/>
          <w:sz w:val="16"/>
          <w:szCs w:val="16"/>
        </w:rPr>
      </w:pPr>
    </w:p>
    <w:p w:rsidR="00CF1A72" w:rsidRPr="00E03765" w:rsidRDefault="00CF1A72" w:rsidP="00CF1A72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CF1A72" w:rsidRDefault="00CF1A72" w:rsidP="00CF1A72">
      <w:pPr>
        <w:spacing w:line="360" w:lineRule="auto"/>
        <w:rPr>
          <w:rFonts w:ascii="Bookman Old Style" w:hAnsi="Bookman Old Style"/>
          <w:b/>
        </w:rPr>
      </w:pPr>
    </w:p>
    <w:p w:rsidR="00CF1A72" w:rsidRDefault="00CF1A72" w:rsidP="00CF1A72">
      <w:pPr>
        <w:spacing w:line="360" w:lineRule="auto"/>
        <w:rPr>
          <w:rFonts w:ascii="Bookman Old Style" w:hAnsi="Bookman Old Style"/>
          <w:b/>
        </w:rPr>
      </w:pPr>
    </w:p>
    <w:p w:rsidR="00CF1A72" w:rsidRDefault="00CF1A72" w:rsidP="00CF1A72">
      <w:pPr>
        <w:spacing w:line="360" w:lineRule="auto"/>
        <w:rPr>
          <w:rFonts w:ascii="Bookman Old Style" w:hAnsi="Bookman Old Style"/>
          <w:b/>
        </w:rPr>
      </w:pPr>
    </w:p>
    <w:p w:rsidR="00CF1A72" w:rsidRPr="00472ABA" w:rsidRDefault="00CF1A72" w:rsidP="00CF1A72">
      <w:pPr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72ABA">
        <w:rPr>
          <w:rFonts w:ascii="Bookman Old Style" w:hAnsi="Bookman Old Style"/>
          <w:sz w:val="20"/>
          <w:szCs w:val="20"/>
        </w:rPr>
        <w:t>KSSiP</w:t>
      </w:r>
      <w:proofErr w:type="spellEnd"/>
      <w:r w:rsidRPr="00472ABA">
        <w:rPr>
          <w:rFonts w:ascii="Bookman Old Style" w:hAnsi="Bookman Old Style"/>
          <w:sz w:val="20"/>
          <w:szCs w:val="20"/>
        </w:rPr>
        <w:t xml:space="preserve"> pod adresem:</w:t>
      </w:r>
    </w:p>
    <w:p w:rsidR="00CF1A72" w:rsidRPr="00472ABA" w:rsidRDefault="00D673BA" w:rsidP="00CF1A72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F1A72" w:rsidRPr="00472ABA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F1A72" w:rsidRPr="00472ABA">
        <w:rPr>
          <w:rFonts w:ascii="Bookman Old Style" w:hAnsi="Bookman Old Style"/>
          <w:sz w:val="20"/>
          <w:szCs w:val="20"/>
        </w:rPr>
        <w:t xml:space="preserve"> </w:t>
      </w:r>
    </w:p>
    <w:p w:rsidR="00CF1A72" w:rsidRPr="00472ABA" w:rsidRDefault="00CF1A72" w:rsidP="00CF1A7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72ABA">
        <w:rPr>
          <w:rFonts w:ascii="Bookman Old Style" w:hAnsi="Bookman Old Style"/>
          <w:sz w:val="20"/>
          <w:szCs w:val="20"/>
        </w:rPr>
        <w:t>KSSiP</w:t>
      </w:r>
      <w:proofErr w:type="spellEnd"/>
      <w:r w:rsidRPr="00472ABA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472ABA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F1A72" w:rsidRPr="00AE543D" w:rsidRDefault="00CF1A72" w:rsidP="00CF1A72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F1A72" w:rsidRPr="00472ABA" w:rsidRDefault="00CF1A72" w:rsidP="00CF1A7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472ABA">
        <w:rPr>
          <w:rFonts w:ascii="Bookman Old Style" w:hAnsi="Bookman Old Style"/>
          <w:sz w:val="20"/>
          <w:szCs w:val="20"/>
        </w:rPr>
        <w:t>KSSiP</w:t>
      </w:r>
      <w:proofErr w:type="spellEnd"/>
      <w:r w:rsidRPr="00472AB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CF1A72" w:rsidRPr="000A78A4" w:rsidRDefault="00CF1A72" w:rsidP="00CF1A7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72AB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CF1A72" w:rsidRDefault="00CF1A72" w:rsidP="00CF1A72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B3D69" w:rsidRDefault="00BB3D69"/>
    <w:sectPr w:rsidR="00BB3D69" w:rsidSect="007D2245">
      <w:pgSz w:w="11906" w:h="16838"/>
      <w:pgMar w:top="426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D6E"/>
    <w:multiLevelType w:val="hybridMultilevel"/>
    <w:tmpl w:val="30B01ED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7065331"/>
    <w:multiLevelType w:val="hybridMultilevel"/>
    <w:tmpl w:val="8A3ED96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BB1723E"/>
    <w:multiLevelType w:val="hybridMultilevel"/>
    <w:tmpl w:val="F6E0A9F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A1A68CB"/>
    <w:multiLevelType w:val="hybridMultilevel"/>
    <w:tmpl w:val="FDA09E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B5A6E20"/>
    <w:multiLevelType w:val="hybridMultilevel"/>
    <w:tmpl w:val="1C9E52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72"/>
    <w:rsid w:val="00BB3D69"/>
    <w:rsid w:val="00CF1A72"/>
    <w:rsid w:val="00D16C54"/>
    <w:rsid w:val="00D673BA"/>
    <w:rsid w:val="00E4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CCE3-B5A9-43BB-8CAD-CB6689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F1A7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F1A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1A7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7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2</cp:revision>
  <dcterms:created xsi:type="dcterms:W3CDTF">2018-05-17T10:00:00Z</dcterms:created>
  <dcterms:modified xsi:type="dcterms:W3CDTF">2018-05-17T10:00:00Z</dcterms:modified>
</cp:coreProperties>
</file>