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097B775" wp14:editId="4765D19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683034" w:rsidRDefault="00DF4E4A" w:rsidP="00683034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      </w:t>
      </w: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34640">
      <w:pPr>
        <w:tabs>
          <w:tab w:val="left" w:pos="5670"/>
        </w:tabs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</w:rPr>
        <w:t xml:space="preserve">OSU – II – 1410 – </w:t>
      </w:r>
      <w:r w:rsidR="00824AB6">
        <w:rPr>
          <w:rFonts w:ascii="Bookman Old Style" w:hAnsi="Bookman Old Style"/>
          <w:b/>
        </w:rPr>
        <w:t>45</w:t>
      </w:r>
      <w:r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A36C2E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>Lublin,</w:t>
      </w:r>
      <w:r w:rsidR="00934640">
        <w:rPr>
          <w:rFonts w:ascii="Bookman Old Style" w:hAnsi="Bookman Old Style"/>
          <w:b/>
        </w:rPr>
        <w:t xml:space="preserve"> 24</w:t>
      </w:r>
      <w:r w:rsidR="00443923" w:rsidRPr="00683034">
        <w:rPr>
          <w:rFonts w:ascii="Bookman Old Style" w:hAnsi="Bookman Old Style"/>
          <w:b/>
        </w:rPr>
        <w:t xml:space="preserve"> </w:t>
      </w:r>
      <w:r w:rsidR="00824AB6">
        <w:rPr>
          <w:rFonts w:ascii="Bookman Old Style" w:hAnsi="Bookman Old Style"/>
          <w:b/>
        </w:rPr>
        <w:t>kwietnia</w:t>
      </w:r>
      <w:r w:rsidR="00443923" w:rsidRPr="00683034">
        <w:rPr>
          <w:rFonts w:ascii="Bookman Old Style" w:hAnsi="Bookman Old Style"/>
          <w:b/>
        </w:rPr>
        <w:t xml:space="preserve"> </w:t>
      </w:r>
      <w:r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 xml:space="preserve"> r.</w:t>
      </w:r>
      <w:r w:rsidR="00BE37BC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 xml:space="preserve">W </w:t>
      </w:r>
      <w:r w:rsidR="00C8384C" w:rsidRPr="00683034">
        <w:rPr>
          <w:rFonts w:ascii="Bookman Old Style" w:hAnsi="Bookman Old Style"/>
          <w:b/>
          <w:sz w:val="26"/>
          <w:szCs w:val="26"/>
        </w:rPr>
        <w:t>SPRAWACH CYWILNYCH</w:t>
      </w:r>
      <w:r w:rsidRPr="00683034">
        <w:rPr>
          <w:rFonts w:ascii="Bookman Old Style" w:hAnsi="Bookman Old Style"/>
          <w:b/>
          <w:sz w:val="26"/>
          <w:szCs w:val="26"/>
        </w:rPr>
        <w:t>, GOSPODARCZYCH</w:t>
      </w:r>
      <w:r w:rsidR="00C8384C" w:rsidRPr="00683034">
        <w:rPr>
          <w:rFonts w:ascii="Bookman Old Style" w:hAnsi="Bookman Old Style"/>
          <w:b/>
          <w:sz w:val="26"/>
          <w:szCs w:val="26"/>
        </w:rPr>
        <w:t>, RODZINNYCH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="00C8384C" w:rsidRPr="00683034">
        <w:rPr>
          <w:rFonts w:ascii="Bookman Old Style" w:hAnsi="Bookman Old Style"/>
          <w:b/>
          <w:sz w:val="26"/>
          <w:szCs w:val="26"/>
        </w:rPr>
        <w:t>I OPIEKUŃCZYCH</w:t>
      </w:r>
      <w:r w:rsidRPr="00683034">
        <w:rPr>
          <w:rFonts w:ascii="Bookman Old Style" w:hAnsi="Bookman Old Style"/>
          <w:b/>
          <w:sz w:val="26"/>
          <w:szCs w:val="26"/>
        </w:rPr>
        <w:t xml:space="preserve"> ORAZ </w:t>
      </w:r>
      <w:r w:rsidR="00C8384C" w:rsidRPr="00683034">
        <w:rPr>
          <w:rFonts w:ascii="Bookman Old Style" w:hAnsi="Bookman Old Style"/>
          <w:b/>
          <w:sz w:val="26"/>
          <w:szCs w:val="26"/>
        </w:rPr>
        <w:t xml:space="preserve">Z ZAKRESU </w:t>
      </w:r>
      <w:r w:rsidR="004661A4" w:rsidRPr="00683034">
        <w:rPr>
          <w:rFonts w:ascii="Bookman Old Style" w:hAnsi="Bookman Old Style"/>
          <w:b/>
          <w:sz w:val="26"/>
          <w:szCs w:val="26"/>
        </w:rPr>
        <w:t xml:space="preserve">PRAWA </w:t>
      </w:r>
      <w:r w:rsidRPr="00683034">
        <w:rPr>
          <w:rFonts w:ascii="Bookman Old Style" w:hAnsi="Bookman Old Style"/>
          <w:b/>
          <w:sz w:val="26"/>
          <w:szCs w:val="26"/>
        </w:rPr>
        <w:t>PRACY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UBEZPIECZEŃ SPOŁECZNYCH</w:t>
      </w:r>
      <w:r w:rsidR="00443923" w:rsidRPr="00683034">
        <w:rPr>
          <w:rFonts w:ascii="Bookman Old Style" w:hAnsi="Bookman Old Style"/>
          <w:b/>
          <w:sz w:val="26"/>
          <w:szCs w:val="26"/>
        </w:rPr>
        <w:t>, REFERENDARZY SĄDOWYCH I ASYSTENTÓW SĘDZIÓW</w:t>
      </w:r>
      <w:r w:rsidR="00524A03" w:rsidRPr="00683034">
        <w:rPr>
          <w:rFonts w:ascii="Bookman Old Style" w:hAnsi="Bookman Old Style"/>
          <w:b/>
          <w:sz w:val="26"/>
          <w:szCs w:val="26"/>
        </w:rPr>
        <w:t xml:space="preserve"> </w:t>
      </w:r>
      <w:r w:rsidR="00037B53">
        <w:rPr>
          <w:rFonts w:ascii="Bookman Old Style" w:hAnsi="Bookman Old Style"/>
          <w:b/>
          <w:sz w:val="26"/>
          <w:szCs w:val="26"/>
        </w:rPr>
        <w:br/>
      </w:r>
      <w:r w:rsidR="00EF7454">
        <w:rPr>
          <w:rFonts w:ascii="Bookman Old Style" w:hAnsi="Bookman Old Style"/>
          <w:b/>
          <w:sz w:val="26"/>
          <w:szCs w:val="26"/>
        </w:rPr>
        <w:t xml:space="preserve">Z OBSZARU APELACJI </w:t>
      </w:r>
      <w:r w:rsidR="00824AB6">
        <w:rPr>
          <w:rFonts w:ascii="Bookman Old Style" w:hAnsi="Bookman Old Style"/>
          <w:b/>
          <w:sz w:val="26"/>
          <w:szCs w:val="26"/>
        </w:rPr>
        <w:t>GDAŃSKIEJ</w:t>
      </w:r>
    </w:p>
    <w:p w:rsidR="00524A03" w:rsidRPr="00683034" w:rsidRDefault="00AA04B5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</w:t>
      </w:r>
      <w:r w:rsidR="00824AB6">
        <w:rPr>
          <w:rFonts w:ascii="Bookman Old Style" w:hAnsi="Bookman Old Style"/>
          <w:b/>
          <w:sz w:val="32"/>
          <w:szCs w:val="32"/>
        </w:rPr>
        <w:t>2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</w:t>
      </w:r>
      <w:r w:rsidR="00824AB6">
        <w:rPr>
          <w:rFonts w:ascii="Bookman Old Style" w:hAnsi="Bookman Old Style"/>
          <w:b/>
          <w:sz w:val="32"/>
          <w:szCs w:val="32"/>
        </w:rPr>
        <w:t>września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824AB6">
        <w:rPr>
          <w:rFonts w:ascii="Bookman Old Style" w:hAnsi="Bookman Old Style"/>
          <w:b/>
          <w:sz w:val="32"/>
          <w:szCs w:val="32"/>
        </w:rPr>
        <w:t>Gdańsk</w:t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824AB6">
        <w:rPr>
          <w:rFonts w:ascii="Bookman Old Style" w:hAnsi="Bookman Old Style"/>
          <w:b/>
          <w:sz w:val="32"/>
          <w:szCs w:val="32"/>
        </w:rPr>
        <w:t>A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DC2F17" w:rsidRDefault="00BE37BC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B30C7" w:rsidRPr="00BB30C7" w:rsidRDefault="00BB30C7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BE37BC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BE37BC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F4E4A" w:rsidRPr="00683034" w:rsidRDefault="00C8384C" w:rsidP="00F61F54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 xml:space="preserve">Szkolenie systemowe z zakresu ochrony </w:t>
      </w:r>
      <w:proofErr w:type="gramStart"/>
      <w:r w:rsidRPr="00683034">
        <w:rPr>
          <w:rFonts w:ascii="Bookman Old Style" w:hAnsi="Bookman Old Style"/>
          <w:b/>
          <w:sz w:val="28"/>
          <w:szCs w:val="28"/>
        </w:rPr>
        <w:t>praw</w:t>
      </w:r>
      <w:proofErr w:type="gramEnd"/>
      <w:r w:rsidRPr="00683034">
        <w:rPr>
          <w:rFonts w:ascii="Bookman Old Style" w:hAnsi="Bookman Old Style"/>
          <w:b/>
          <w:sz w:val="28"/>
          <w:szCs w:val="28"/>
        </w:rPr>
        <w:t xml:space="preserve"> człowieka.</w:t>
      </w:r>
    </w:p>
    <w:p w:rsidR="00DF4E4A" w:rsidRDefault="00DF4E4A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BB30C7" w:rsidRPr="00683034" w:rsidRDefault="00BB30C7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DF4E4A" w:rsidRPr="00683034" w:rsidRDefault="00934640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934640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683034" w:rsidRDefault="00AA04B5" w:rsidP="00341A7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</w:t>
      </w:r>
      <w:r w:rsidR="00824AB6">
        <w:rPr>
          <w:rFonts w:ascii="Bookman Old Style" w:hAnsi="Bookman Old Style"/>
          <w:b/>
        </w:rPr>
        <w:t>2</w:t>
      </w:r>
      <w:r w:rsidR="00683034" w:rsidRPr="00683034">
        <w:rPr>
          <w:rFonts w:ascii="Bookman Old Style" w:hAnsi="Bookman Old Style"/>
          <w:b/>
        </w:rPr>
        <w:t xml:space="preserve"> </w:t>
      </w:r>
      <w:r w:rsidR="00824AB6">
        <w:rPr>
          <w:rFonts w:ascii="Bookman Old Style" w:hAnsi="Bookman Old Style"/>
          <w:b/>
        </w:rPr>
        <w:t>września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Sąd </w:t>
      </w:r>
      <w:r w:rsidR="00824AB6">
        <w:rPr>
          <w:rFonts w:ascii="Bookman Old Style" w:hAnsi="Bookman Old Style"/>
          <w:b/>
          <w:bCs/>
        </w:rPr>
        <w:t>Apelacyjny</w:t>
      </w:r>
      <w:r>
        <w:rPr>
          <w:rFonts w:ascii="Bookman Old Style" w:hAnsi="Bookman Old Style"/>
          <w:b/>
          <w:bCs/>
        </w:rPr>
        <w:t xml:space="preserve"> w </w:t>
      </w:r>
      <w:r w:rsidR="00824AB6">
        <w:rPr>
          <w:rFonts w:ascii="Bookman Old Style" w:hAnsi="Bookman Old Style"/>
          <w:b/>
          <w:bCs/>
        </w:rPr>
        <w:t>Gdańsku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824AB6">
        <w:rPr>
          <w:rFonts w:ascii="Bookman Old Style" w:hAnsi="Bookman Old Style"/>
          <w:b/>
          <w:bCs/>
        </w:rPr>
        <w:t>ul. Nowe Ogrody 7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24AB6">
        <w:rPr>
          <w:rFonts w:ascii="Bookman Old Style" w:hAnsi="Bookman Old Style"/>
          <w:b/>
        </w:rPr>
        <w:tab/>
        <w:t>80-803</w:t>
      </w:r>
      <w:r>
        <w:rPr>
          <w:rFonts w:ascii="Bookman Old Style" w:hAnsi="Bookman Old Style"/>
          <w:b/>
        </w:rPr>
        <w:t xml:space="preserve"> </w:t>
      </w:r>
      <w:r w:rsidR="00824AB6">
        <w:rPr>
          <w:rFonts w:ascii="Bookman Old Style" w:hAnsi="Bookman Old Style"/>
          <w:b/>
          <w:bCs/>
        </w:rPr>
        <w:t>Gdańsk</w:t>
      </w:r>
    </w:p>
    <w:p w:rsidR="00EF7454" w:rsidRDefault="00341A71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="00AA04B5" w:rsidRPr="00AA04B5">
        <w:rPr>
          <w:rFonts w:ascii="Bookman Old Style" w:hAnsi="Bookman Old Style"/>
          <w:b/>
          <w:bCs/>
        </w:rPr>
        <w:t xml:space="preserve">Sala konferencyjna </w:t>
      </w:r>
    </w:p>
    <w:p w:rsidR="00341A71" w:rsidRPr="00AA04B5" w:rsidRDefault="00EF745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>
        <w:rPr>
          <w:rFonts w:ascii="Bookman Old Style" w:hAnsi="Bookman Old Style"/>
          <w:b/>
          <w:bCs/>
        </w:rPr>
        <w:t>tel</w:t>
      </w:r>
      <w:proofErr w:type="gramEnd"/>
      <w:r>
        <w:rPr>
          <w:rFonts w:ascii="Bookman Old Style" w:hAnsi="Bookman Old Style"/>
          <w:b/>
          <w:bCs/>
        </w:rPr>
        <w:t>. (</w:t>
      </w:r>
      <w:r w:rsidR="00824AB6">
        <w:rPr>
          <w:rFonts w:ascii="Bookman Old Style" w:hAnsi="Bookman Old Style"/>
          <w:b/>
          <w:bCs/>
        </w:rPr>
        <w:t>58) 32 38 517</w:t>
      </w:r>
      <w:r w:rsidR="00341A71" w:rsidRPr="00AA04B5">
        <w:rPr>
          <w:rFonts w:ascii="Bookman Old Style" w:hAnsi="Bookman Old Style"/>
          <w:b/>
        </w:rPr>
        <w:br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</w:p>
    <w:p w:rsidR="00DF4E4A" w:rsidRPr="00683034" w:rsidRDefault="0068303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34640"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934640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443923" w:rsidRPr="00745A67" w:rsidRDefault="00F40EFA" w:rsidP="00745A67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sz w:val="28"/>
          <w:szCs w:val="28"/>
        </w:rPr>
        <w:br/>
      </w:r>
      <w:r w:rsidRPr="00683034">
        <w:rPr>
          <w:rFonts w:ascii="Bookman Old Style" w:hAnsi="Bookman Old Style"/>
          <w:b/>
          <w:u w:val="single"/>
        </w:rPr>
        <w:br w:type="page"/>
      </w:r>
      <w:r w:rsidR="00934640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934640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683034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Gr</w:t>
      </w:r>
      <w:r w:rsidR="009801EB">
        <w:rPr>
          <w:rFonts w:ascii="Bookman Old Style" w:hAnsi="Bookman Old Style" w:cs="Bookman Old Style"/>
          <w:bCs/>
          <w:color w:val="000000"/>
        </w:rPr>
        <w:t>zegorz Borkowski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9801EB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1C136B">
          <w:rPr>
            <w:rStyle w:val="Hipercze"/>
            <w:rFonts w:ascii="Bookman Old Style" w:hAnsi="Bookman Old Style" w:cs="Bookman Old Style"/>
            <w:bCs/>
            <w:lang w:val="en-US"/>
          </w:rPr>
          <w:t>g.borkowski@kssip.gov.pl</w:t>
        </w:r>
      </w:hyperlink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tel.: 81 440 87 14</w:t>
      </w:r>
    </w:p>
    <w:p w:rsidR="00BB30C7" w:rsidRPr="00683034" w:rsidRDefault="006728EE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proofErr w:type="gramStart"/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</w:t>
      </w:r>
      <w:proofErr w:type="gramEnd"/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DF4E4A" w:rsidRPr="00683034" w:rsidRDefault="00DF4E4A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934640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DF4E4A" w:rsidRPr="00683034" w:rsidRDefault="00934640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5A47A2" w:rsidRPr="00683034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sędzia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Sądu Rejonowego Przemysław </w:t>
      </w:r>
      <w:proofErr w:type="spellStart"/>
      <w:r w:rsidRPr="00683034">
        <w:rPr>
          <w:rStyle w:val="Pogrubienie"/>
          <w:rFonts w:ascii="Bookman Old Style" w:hAnsi="Bookman Old Style"/>
          <w:i/>
        </w:rPr>
        <w:t>Feliga</w:t>
      </w:r>
      <w:proofErr w:type="spellEnd"/>
    </w:p>
    <w:p w:rsidR="00E6695D" w:rsidRPr="00683034" w:rsidRDefault="00215DCB" w:rsidP="006728EE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Fonts w:ascii="Bookman Old Style" w:hAnsi="Bookman Old Style"/>
          <w:i/>
        </w:rPr>
        <w:t>doktor</w:t>
      </w:r>
      <w:proofErr w:type="gramEnd"/>
      <w:r w:rsidRPr="00683034">
        <w:rPr>
          <w:rFonts w:ascii="Bookman Old Style" w:hAnsi="Bookman Old Style"/>
          <w:i/>
        </w:rPr>
        <w:t xml:space="preserve"> nauk prawnych,  LL.M. </w:t>
      </w:r>
      <w:proofErr w:type="spellStart"/>
      <w:r w:rsidRPr="00683034">
        <w:rPr>
          <w:rFonts w:ascii="Bookman Old Style" w:hAnsi="Bookman Old Style"/>
          <w:i/>
        </w:rPr>
        <w:t>Universität</w:t>
      </w:r>
      <w:proofErr w:type="spellEnd"/>
      <w:r w:rsidRPr="00683034">
        <w:rPr>
          <w:rFonts w:ascii="Bookman Old Style" w:hAnsi="Bookman Old Style"/>
          <w:i/>
        </w:rPr>
        <w:t xml:space="preserve"> Regensburg, sędzia Sądu Rejonowego dla Łodzi – Śródmieścia w Łodzi, w latach 2010 – 2012 delegowany do Wydziału IV Postępowań przed Europejskim Trybunałem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</w:t>
      </w:r>
      <w:r w:rsidR="00DD4445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 w:rsidR="00E6695D"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>0 opracowań naukowych (artykułów, glos),</w:t>
      </w:r>
      <w:r w:rsidR="00683034" w:rsidRPr="00683034">
        <w:rPr>
          <w:rFonts w:ascii="Bookman Old Style" w:hAnsi="Bookman Old Style"/>
          <w:i/>
        </w:rPr>
        <w:t xml:space="preserve"> </w:t>
      </w:r>
      <w:r w:rsidR="00683034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tym odnoszących się do tematu wykładu: „Skarga o stwierdzenie przewlekłości postępowania egzekucyjnego. Europejski Trybunał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 a sądy krajowe – podobieństwa i różnice w poglądach cz. I </w:t>
      </w:r>
      <w:proofErr w:type="spellStart"/>
      <w:r w:rsidRPr="00683034">
        <w:rPr>
          <w:rFonts w:ascii="Bookman Old Style" w:hAnsi="Bookman Old Style"/>
          <w:i/>
        </w:rPr>
        <w:t>i</w:t>
      </w:r>
      <w:proofErr w:type="spellEnd"/>
      <w:r w:rsidRPr="00683034">
        <w:rPr>
          <w:rFonts w:ascii="Bookman Old Style" w:hAnsi="Bookman Old Style"/>
          <w:i/>
        </w:rPr>
        <w:t xml:space="preserve"> cz. II”, Przegląd Prawa Egzekucyjnego 2012 nr 3-6, i nr 7- 9; „Zastosowanie przez Europejski Trybunał Praw Człowieka zarządzenia tymczasowego</w:t>
      </w:r>
      <w:r w:rsidR="00683034" w:rsidRPr="00683034">
        <w:rPr>
          <w:rFonts w:ascii="Bookman Old Style" w:hAnsi="Bookman Old Style"/>
          <w:i/>
        </w:rPr>
        <w:t>, którego</w:t>
      </w:r>
      <w:r w:rsidRPr="00683034">
        <w:rPr>
          <w:rFonts w:ascii="Bookman Old Style" w:hAnsi="Bookman Old Style"/>
          <w:i/>
        </w:rPr>
        <w:t xml:space="preserve">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</w:p>
    <w:p w:rsidR="00683034" w:rsidRDefault="00DF4E4A" w:rsidP="006728EE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6728EE" w:rsidRPr="00683034" w:rsidRDefault="006728EE" w:rsidP="006728EE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934640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8851FC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DF4E4A" w:rsidRPr="00683034">
        <w:rPr>
          <w:rFonts w:ascii="Bookman Old Style" w:hAnsi="Bookman Old Style"/>
          <w:b/>
        </w:rPr>
        <w:tab/>
      </w:r>
      <w:r w:rsidR="00AA04B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 września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934640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683034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</w:t>
      </w:r>
      <w:r w:rsidR="00580E7D">
        <w:rPr>
          <w:rFonts w:ascii="Bookman Old Style" w:hAnsi="Bookman Old Style" w:cs="Arial"/>
          <w:b/>
        </w:rPr>
        <w:t>.00 – 11.0</w:t>
      </w:r>
      <w:r w:rsidRPr="00683034">
        <w:rPr>
          <w:rFonts w:ascii="Bookman Old Style" w:hAnsi="Bookman Old Style" w:cs="Arial"/>
          <w:b/>
        </w:rPr>
        <w:t>0</w:t>
      </w:r>
      <w:r w:rsidR="006728EE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</w:t>
      </w:r>
    </w:p>
    <w:p w:rsidR="008851FC" w:rsidRPr="00683034" w:rsidRDefault="008851FC" w:rsidP="008851FC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2840E7" w:rsidRPr="002840E7" w:rsidRDefault="00524A03" w:rsidP="002840E7">
      <w:pPr>
        <w:spacing w:before="60"/>
        <w:ind w:left="1985"/>
        <w:jc w:val="both"/>
        <w:rPr>
          <w:rFonts w:ascii="Bookman Old Style" w:hAnsi="Bookman Old Style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</w:t>
      </w:r>
      <w:proofErr w:type="gramStart"/>
      <w:r w:rsidRPr="00BB30C7">
        <w:rPr>
          <w:rFonts w:ascii="Bookman Old Style" w:hAnsi="Bookman Old Style" w:cs="Arial"/>
          <w:i/>
        </w:rPr>
        <w:t>praw</w:t>
      </w:r>
      <w:proofErr w:type="gramEnd"/>
      <w:r w:rsidRPr="00BB30C7">
        <w:rPr>
          <w:rFonts w:ascii="Bookman Old Style" w:hAnsi="Bookman Old Style" w:cs="Arial"/>
          <w:i/>
        </w:rPr>
        <w:t xml:space="preserve"> człowieka i podstawowych </w:t>
      </w:r>
      <w:r w:rsidR="006728EE" w:rsidRPr="00BB30C7">
        <w:rPr>
          <w:rFonts w:ascii="Bookman Old Style" w:hAnsi="Bookman Old Style" w:cs="Arial"/>
          <w:i/>
        </w:rPr>
        <w:t>wolności, jako</w:t>
      </w:r>
      <w:r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żywy instrument oraz podstawowe informacje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E6695D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o Europejskim Trybunale Praw Człowieka i procedurze postępowania, relacja pomiędzy remedium konwencyjny</w:t>
      </w:r>
      <w:r w:rsidR="00C414BE" w:rsidRPr="00BB30C7">
        <w:rPr>
          <w:rFonts w:ascii="Bookman Old Style" w:hAnsi="Bookman Old Style" w:cs="Arial"/>
          <w:i/>
        </w:rPr>
        <w:t>m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6728EE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a krajowym</w:t>
      </w:r>
      <w:r w:rsidR="001704A6"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w postaci skargi konstytucyjnej, wykonywanie orzeczeń Trybunału</w:t>
      </w:r>
      <w:r w:rsidR="001704A6" w:rsidRPr="00BB30C7">
        <w:rPr>
          <w:rFonts w:ascii="Bookman Old Style" w:hAnsi="Bookman Old Style" w:cs="Arial"/>
          <w:i/>
        </w:rPr>
        <w:t>.</w:t>
      </w:r>
      <w:r w:rsidR="002840E7" w:rsidRPr="002840E7">
        <w:rPr>
          <w:rFonts w:ascii="Bookman Old Style" w:hAnsi="Bookman Old Style" w:cs="Arial"/>
          <w:i/>
        </w:rPr>
        <w:t xml:space="preserve"> </w:t>
      </w:r>
      <w:r w:rsidR="002840E7" w:rsidRPr="00683034">
        <w:rPr>
          <w:rFonts w:ascii="Bookman Old Style" w:hAnsi="Bookman Old Style" w:cs="Arial"/>
          <w:i/>
        </w:rPr>
        <w:t xml:space="preserve">Dopuszczalność drogi sądowej w świetle Konwencji, błędne pouczenia sądów a prawo strony do sądu, przymus adwokacko- radcowski w świetle art. 6 Konwencji oraz odmowa przyznania adwokata lub radcy prawnego </w:t>
      </w:r>
      <w:r w:rsidR="002840E7">
        <w:rPr>
          <w:rFonts w:ascii="Bookman Old Style" w:hAnsi="Bookman Old Style" w:cs="Arial"/>
          <w:i/>
        </w:rPr>
        <w:br/>
      </w:r>
      <w:r w:rsidR="002840E7" w:rsidRPr="00683034">
        <w:rPr>
          <w:rFonts w:ascii="Bookman Old Style" w:hAnsi="Bookman Old Style" w:cs="Arial"/>
          <w:i/>
        </w:rPr>
        <w:t>z urzędu a prawo do sądu.</w:t>
      </w:r>
      <w:r w:rsidR="002840E7">
        <w:rPr>
          <w:rFonts w:ascii="Bookman Old Style" w:hAnsi="Bookman Old Style" w:cs="Arial"/>
          <w:i/>
        </w:rPr>
        <w:t xml:space="preserve"> </w:t>
      </w:r>
      <w:r w:rsidR="002840E7" w:rsidRPr="00683034">
        <w:rPr>
          <w:rFonts w:ascii="Bookman Old Style" w:hAnsi="Bookman Old Style"/>
          <w:i/>
        </w:rPr>
        <w:t xml:space="preserve">Dyskryminacja (test proporcjonalności), na przykładzie dyskryminacji osób homoseksualnych, wymogi bezstronności sądu (test subiektywny, test obiektywny) i należytej obsady sądu, </w:t>
      </w:r>
      <w:r w:rsidR="002840E7" w:rsidRPr="00683034">
        <w:rPr>
          <w:rFonts w:ascii="Bookman Old Style" w:hAnsi="Bookman Old Style"/>
          <w:i/>
        </w:rPr>
        <w:lastRenderedPageBreak/>
        <w:t xml:space="preserve">swoboda wypowiedzi (politycy, dziennikarze, osoby prywatne), koszty sądowe w sprawach cywilnych, </w:t>
      </w:r>
      <w:r w:rsidR="002840E7">
        <w:rPr>
          <w:rFonts w:ascii="Bookman Old Style" w:hAnsi="Bookman Old Style"/>
          <w:i/>
        </w:rPr>
        <w:br/>
      </w:r>
      <w:r w:rsidR="002840E7" w:rsidRPr="00683034">
        <w:rPr>
          <w:rFonts w:ascii="Bookman Old Style" w:hAnsi="Bookman Old Style"/>
          <w:i/>
        </w:rPr>
        <w:t>ze szczególnym uwzględnieniem problematyki uzasadniania orzeczeń</w:t>
      </w:r>
      <w:r w:rsidR="002840E7">
        <w:rPr>
          <w:rFonts w:ascii="Bookman Old Style" w:hAnsi="Bookman Old Style"/>
          <w:i/>
        </w:rPr>
        <w:t xml:space="preserve"> </w:t>
      </w:r>
      <w:r w:rsidR="002840E7" w:rsidRPr="00683034">
        <w:rPr>
          <w:rFonts w:ascii="Bookman Old Style" w:hAnsi="Bookman Old Style"/>
          <w:i/>
        </w:rPr>
        <w:t>w przedmiocie odmowy zwolnienia od kosztów sądowych.</w:t>
      </w:r>
      <w:r w:rsidR="002840E7" w:rsidRPr="002840E7">
        <w:rPr>
          <w:rFonts w:ascii="Bookman Old Style" w:hAnsi="Bookman Old Style"/>
          <w:i/>
        </w:rPr>
        <w:t xml:space="preserve"> </w:t>
      </w:r>
      <w:r w:rsidR="002840E7" w:rsidRPr="00683034">
        <w:rPr>
          <w:rFonts w:ascii="Bookman Old Style" w:hAnsi="Bookman Old Style"/>
          <w:i/>
        </w:rPr>
        <w:t>Nadmierna dł</w:t>
      </w:r>
      <w:r w:rsidR="002840E7">
        <w:rPr>
          <w:rFonts w:ascii="Bookman Old Style" w:hAnsi="Bookman Old Style"/>
          <w:i/>
        </w:rPr>
        <w:t xml:space="preserve">ugość postępowania sądowego, </w:t>
      </w:r>
      <w:r w:rsidR="002840E7">
        <w:rPr>
          <w:rFonts w:ascii="Bookman Old Style" w:hAnsi="Bookman Old Style"/>
          <w:i/>
        </w:rPr>
        <w:br/>
        <w:t xml:space="preserve">ze </w:t>
      </w:r>
      <w:r w:rsidR="002840E7" w:rsidRPr="00683034">
        <w:rPr>
          <w:rFonts w:ascii="Bookman Old Style" w:hAnsi="Bookman Old Style"/>
          <w:i/>
        </w:rPr>
        <w:t>szczególnym uwzględnieniem przesłanek zachowania sądów krajowych oraz przyczynienia się skarżących do przedłużenia postępowania sądowego oraz reguł przyznawania słusznego zadośćuczynienia, wznowienie postępowania w sprawach cywilnych, realizacja kontaktów między rodzicami a dziećmi.</w:t>
      </w:r>
    </w:p>
    <w:p w:rsidR="00DF4E4A" w:rsidRPr="00BB30C7" w:rsidRDefault="00DF4E4A" w:rsidP="00E6695D">
      <w:pPr>
        <w:ind w:left="1985"/>
        <w:jc w:val="both"/>
        <w:rPr>
          <w:rFonts w:ascii="Bookman Old Style" w:hAnsi="Bookman Old Style" w:cs="Arial"/>
          <w:i/>
        </w:rPr>
      </w:pPr>
    </w:p>
    <w:p w:rsidR="009801EB" w:rsidRPr="00683034" w:rsidRDefault="009801EB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 xml:space="preserve"> – 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2A2157" w:rsidRPr="009801EB" w:rsidRDefault="002840E7" w:rsidP="00E6695D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b/>
        </w:rPr>
        <w:t>11</w:t>
      </w:r>
      <w:r w:rsidR="002A2157" w:rsidRPr="00683034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1</w:t>
      </w:r>
      <w:r w:rsidR="009801EB">
        <w:rPr>
          <w:rFonts w:ascii="Bookman Old Style" w:hAnsi="Bookman Old Style" w:cs="Arial"/>
          <w:b/>
        </w:rPr>
        <w:t>5</w:t>
      </w:r>
      <w:r w:rsidR="002A2157"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3</w:t>
      </w:r>
      <w:r w:rsidR="002A2157" w:rsidRPr="00683034">
        <w:rPr>
          <w:rFonts w:ascii="Bookman Old Style" w:hAnsi="Bookman Old Style" w:cs="Arial"/>
          <w:b/>
        </w:rPr>
        <w:t>.</w:t>
      </w:r>
      <w:r w:rsidR="009801EB">
        <w:rPr>
          <w:rFonts w:ascii="Bookman Old Style" w:hAnsi="Bookman Old Style" w:cs="Arial"/>
          <w:b/>
        </w:rPr>
        <w:t>15</w:t>
      </w:r>
      <w:r w:rsidR="002A2157" w:rsidRPr="00683034">
        <w:rPr>
          <w:rFonts w:ascii="Bookman Old Style" w:hAnsi="Bookman Old Style" w:cs="Arial"/>
          <w:i/>
        </w:rPr>
        <w:tab/>
      </w:r>
      <w:r w:rsidR="00BB30C7">
        <w:rPr>
          <w:rFonts w:ascii="Bookman Old Style" w:hAnsi="Bookman Old Style" w:cs="Arial"/>
          <w:b/>
        </w:rPr>
        <w:t xml:space="preserve">WYKŁAD – </w:t>
      </w:r>
      <w:r w:rsidR="00811B46">
        <w:rPr>
          <w:rFonts w:ascii="Bookman Old Style" w:hAnsi="Bookman Old Style" w:cs="Arial"/>
          <w:b/>
        </w:rPr>
        <w:t>c</w:t>
      </w:r>
      <w:r>
        <w:rPr>
          <w:rFonts w:ascii="Bookman Old Style" w:hAnsi="Bookman Old Style" w:cs="Arial"/>
          <w:b/>
        </w:rPr>
        <w:t>d.</w:t>
      </w:r>
    </w:p>
    <w:p w:rsidR="00DF4E4A" w:rsidRPr="00683034" w:rsidRDefault="00DF4E4A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A2157" w:rsidRPr="00683034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1</w:t>
      </w:r>
      <w:r w:rsidR="009801E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2840E7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30</w:t>
      </w:r>
      <w:r w:rsidR="006728EE">
        <w:rPr>
          <w:rFonts w:ascii="Bookman Old Style" w:hAnsi="Bookman Old Style" w:cs="Arial"/>
        </w:rPr>
        <w:tab/>
      </w:r>
      <w:proofErr w:type="gramStart"/>
      <w:r w:rsidR="00C47BC3"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1704A6" w:rsidRPr="00683034" w:rsidRDefault="001704A6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 w:rsidR="002840E7">
        <w:rPr>
          <w:rFonts w:ascii="Bookman Old Style" w:hAnsi="Bookman Old Style" w:cs="Arial"/>
          <w:b/>
        </w:rPr>
        <w:t>3</w:t>
      </w:r>
      <w:r w:rsidRPr="00683034">
        <w:rPr>
          <w:rFonts w:ascii="Bookman Old Style" w:hAnsi="Bookman Old Style" w:cs="Arial"/>
          <w:b/>
        </w:rPr>
        <w:t>.</w:t>
      </w:r>
      <w:r w:rsidR="002840E7">
        <w:rPr>
          <w:rFonts w:ascii="Bookman Old Style" w:hAnsi="Bookman Old Style" w:cs="Arial"/>
          <w:b/>
        </w:rPr>
        <w:t>3</w:t>
      </w:r>
      <w:r w:rsidR="009801EB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  <w:b/>
        </w:rPr>
        <w:t xml:space="preserve"> – 1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>.</w:t>
      </w:r>
      <w:r w:rsidR="002840E7">
        <w:rPr>
          <w:rFonts w:ascii="Bookman Old Style" w:hAnsi="Bookman Old Style" w:cs="Arial"/>
          <w:b/>
        </w:rPr>
        <w:t>3</w:t>
      </w:r>
      <w:r w:rsidR="00EF7454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</w:t>
      </w:r>
      <w:r w:rsidR="00243D3B" w:rsidRPr="00683034">
        <w:rPr>
          <w:rFonts w:ascii="Bookman Old Style" w:hAnsi="Bookman Old Style" w:cs="Arial"/>
          <w:b/>
        </w:rPr>
        <w:t xml:space="preserve">– </w:t>
      </w:r>
      <w:r w:rsidR="00811B46">
        <w:rPr>
          <w:rFonts w:ascii="Bookman Old Style" w:hAnsi="Bookman Old Style" w:cs="Arial"/>
          <w:b/>
        </w:rPr>
        <w:t>c</w:t>
      </w:r>
      <w:r w:rsidR="002840E7">
        <w:rPr>
          <w:rFonts w:ascii="Bookman Old Style" w:hAnsi="Bookman Old Style" w:cs="Arial"/>
          <w:b/>
        </w:rPr>
        <w:t>d.</w:t>
      </w:r>
      <w:r w:rsidR="00243D3B" w:rsidRPr="00683034">
        <w:rPr>
          <w:rFonts w:ascii="Bookman Old Style" w:hAnsi="Bookman Old Style" w:cs="Arial"/>
          <w:b/>
        </w:rPr>
        <w:t xml:space="preserve"> 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E6695D" w:rsidRDefault="00E6695D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3011CF" w:rsidRPr="00683034" w:rsidRDefault="003011CF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DF4E4A" w:rsidRDefault="00DF4E4A" w:rsidP="005C73DE">
      <w:pPr>
        <w:jc w:val="center"/>
        <w:rPr>
          <w:rFonts w:ascii="Bookman Old Style" w:hAnsi="Bookman Old Style" w:cs="Arial"/>
          <w:b/>
          <w:sz w:val="20"/>
          <w:szCs w:val="22"/>
        </w:rPr>
      </w:pPr>
    </w:p>
    <w:p w:rsidR="008C3E14" w:rsidRDefault="008C3E14" w:rsidP="005C73DE">
      <w:pPr>
        <w:jc w:val="center"/>
        <w:rPr>
          <w:rFonts w:ascii="Bookman Old Style" w:hAnsi="Bookman Old Style" w:cs="Arial"/>
          <w:b/>
          <w:sz w:val="20"/>
          <w:szCs w:val="22"/>
        </w:rPr>
      </w:pPr>
    </w:p>
    <w:p w:rsidR="008C3E14" w:rsidRPr="00683034" w:rsidRDefault="008C3E14" w:rsidP="005C73DE">
      <w:pPr>
        <w:jc w:val="center"/>
        <w:rPr>
          <w:rFonts w:ascii="Bookman Old Style" w:hAnsi="Bookman Old Style" w:cs="Arial"/>
          <w:b/>
          <w:sz w:val="20"/>
          <w:szCs w:val="22"/>
        </w:rPr>
      </w:pPr>
    </w:p>
    <w:p w:rsidR="00243D3B" w:rsidRDefault="00243D3B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1D5D33" w:rsidRDefault="001D5D33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C3E14" w:rsidRDefault="008C3E14" w:rsidP="008C3E1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8C3E14" w:rsidRDefault="008C3E14" w:rsidP="008C3E1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sędziego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Adama Czerwińskiego</w:t>
      </w:r>
    </w:p>
    <w:p w:rsidR="008C3E14" w:rsidRDefault="00934640" w:rsidP="008C3E1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-//-</w:t>
      </w:r>
      <w:bookmarkStart w:id="0" w:name="_GoBack"/>
      <w:bookmarkEnd w:id="0"/>
    </w:p>
    <w:p w:rsidR="008C3E14" w:rsidRDefault="008C3E14" w:rsidP="008C3E1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8C3E14" w:rsidRDefault="008C3E14" w:rsidP="008C3E1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sędzia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Greta Książkiewicz</w:t>
      </w:r>
    </w:p>
    <w:p w:rsidR="008C3E14" w:rsidRPr="00EE1927" w:rsidRDefault="008C3E14" w:rsidP="008C3E14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8C3E14" w:rsidRDefault="008C3E14" w:rsidP="008C3E1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8C3E14" w:rsidRDefault="008C3E14" w:rsidP="008C3E14"/>
    <w:p w:rsidR="002840E7" w:rsidRDefault="002840E7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2840E7" w:rsidRDefault="002840E7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C3E14" w:rsidRPr="008C3E14" w:rsidRDefault="008C3E14" w:rsidP="00AA04B5">
      <w:pPr>
        <w:rPr>
          <w:rStyle w:val="Hipercze"/>
          <w:rFonts w:ascii="Bookman Old Style" w:hAnsi="Bookman Old Style" w:cs="Arial"/>
          <w:i/>
          <w:color w:val="auto"/>
          <w:u w:val="none"/>
        </w:rPr>
      </w:pPr>
    </w:p>
    <w:sectPr w:rsidR="008C3E14" w:rsidRPr="008C3E14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BC" w:rsidRDefault="00BE37BC">
      <w:r>
        <w:separator/>
      </w:r>
    </w:p>
  </w:endnote>
  <w:endnote w:type="continuationSeparator" w:id="0">
    <w:p w:rsidR="00BE37BC" w:rsidRDefault="00BE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64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BC" w:rsidRDefault="00BE37BC">
      <w:r>
        <w:separator/>
      </w:r>
    </w:p>
  </w:footnote>
  <w:footnote w:type="continuationSeparator" w:id="0">
    <w:p w:rsidR="00BE37BC" w:rsidRDefault="00BE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A3B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E45"/>
    <w:rsid w:val="00261197"/>
    <w:rsid w:val="00263E7B"/>
    <w:rsid w:val="002670B5"/>
    <w:rsid w:val="00273867"/>
    <w:rsid w:val="00273A83"/>
    <w:rsid w:val="00275989"/>
    <w:rsid w:val="00281F98"/>
    <w:rsid w:val="002840E7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B47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11B46"/>
    <w:rsid w:val="00820F1F"/>
    <w:rsid w:val="00822356"/>
    <w:rsid w:val="00824AB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C3E14"/>
    <w:rsid w:val="008D04C0"/>
    <w:rsid w:val="008D2393"/>
    <w:rsid w:val="008D2B82"/>
    <w:rsid w:val="008D33CE"/>
    <w:rsid w:val="008E0F6C"/>
    <w:rsid w:val="008E1FF4"/>
    <w:rsid w:val="008E2ED8"/>
    <w:rsid w:val="008F23A5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4640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E16"/>
    <w:rsid w:val="00BD1B15"/>
    <w:rsid w:val="00BE31CF"/>
    <w:rsid w:val="00BE37BC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bor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5</cp:revision>
  <cp:lastPrinted>2014-04-24T12:28:00Z</cp:lastPrinted>
  <dcterms:created xsi:type="dcterms:W3CDTF">2014-04-15T08:33:00Z</dcterms:created>
  <dcterms:modified xsi:type="dcterms:W3CDTF">2014-04-24T13:36:00Z</dcterms:modified>
</cp:coreProperties>
</file>