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62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3358"/>
      </w:tblGrid>
      <w:tr w:rsidR="00317AB9" w:rsidRPr="000F4C97" w:rsidTr="009014B0">
        <w:trPr>
          <w:trHeight w:val="2035"/>
        </w:trPr>
        <w:tc>
          <w:tcPr>
            <w:tcW w:w="2269" w:type="dxa"/>
            <w:vMerge w:val="restart"/>
            <w:shd w:val="clear" w:color="auto" w:fill="DDD9C3"/>
          </w:tcPr>
          <w:p w:rsidR="00317AB9" w:rsidRPr="000F4C97" w:rsidRDefault="00317AB9" w:rsidP="00317AB9">
            <w:pPr>
              <w:spacing w:after="200" w:line="276" w:lineRule="auto"/>
              <w:ind w:left="-426" w:firstLine="426"/>
            </w:pPr>
          </w:p>
        </w:tc>
        <w:tc>
          <w:tcPr>
            <w:tcW w:w="13358" w:type="dxa"/>
          </w:tcPr>
          <w:p w:rsidR="00317AB9" w:rsidRPr="000F4C97" w:rsidRDefault="00D35257" w:rsidP="00317AB9">
            <w:pPr>
              <w:spacing w:after="200" w:line="276" w:lineRule="auto"/>
            </w:pPr>
            <w:r w:rsidRPr="000F4C97">
              <w:rPr>
                <w:noProof/>
                <w:lang w:eastAsia="pl-PL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65136</wp:posOffset>
                  </wp:positionV>
                  <wp:extent cx="1394279" cy="1122680"/>
                  <wp:effectExtent l="0" t="0" r="0" b="1270"/>
                  <wp:wrapNone/>
                  <wp:docPr id="7" name="Obraz 7" descr="Znalezione obrazy dla zapytania logo 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79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4C97">
              <w:rPr>
                <w:noProof/>
                <w:lang w:eastAsia="pl-PL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1474115</wp:posOffset>
                  </wp:positionH>
                  <wp:positionV relativeFrom="paragraph">
                    <wp:posOffset>177800</wp:posOffset>
                  </wp:positionV>
                  <wp:extent cx="1114024" cy="1061200"/>
                  <wp:effectExtent l="0" t="0" r="0" b="571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-KSSi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024" cy="10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AB9" w:rsidRPr="000F4C97" w:rsidTr="009014B0">
        <w:trPr>
          <w:trHeight w:val="3011"/>
        </w:trPr>
        <w:tc>
          <w:tcPr>
            <w:tcW w:w="2269" w:type="dxa"/>
            <w:vMerge/>
            <w:shd w:val="clear" w:color="auto" w:fill="DDD9C3"/>
          </w:tcPr>
          <w:p w:rsidR="00317AB9" w:rsidRPr="000F4C97" w:rsidRDefault="00317AB9" w:rsidP="00317AB9">
            <w:pPr>
              <w:spacing w:after="200" w:line="276" w:lineRule="auto"/>
            </w:pPr>
          </w:p>
        </w:tc>
        <w:tc>
          <w:tcPr>
            <w:tcW w:w="13358" w:type="dxa"/>
            <w:vMerge w:val="restart"/>
          </w:tcPr>
          <w:p w:rsidR="00317AB9" w:rsidRPr="000F4C97" w:rsidRDefault="00317AB9" w:rsidP="00317AB9">
            <w:pPr>
              <w:spacing w:after="200"/>
              <w:rPr>
                <w:b/>
                <w:sz w:val="24"/>
                <w:szCs w:val="24"/>
              </w:rPr>
            </w:pPr>
          </w:p>
          <w:p w:rsidR="00E96BE0" w:rsidRPr="000F4C97" w:rsidRDefault="00E96BE0" w:rsidP="00317AB9">
            <w:pPr>
              <w:spacing w:after="200"/>
              <w:rPr>
                <w:b/>
                <w:sz w:val="24"/>
                <w:szCs w:val="24"/>
              </w:rPr>
            </w:pPr>
          </w:p>
          <w:p w:rsidR="00F35277" w:rsidRDefault="00B032AE" w:rsidP="00437FEB">
            <w:pPr>
              <w:shd w:val="clear" w:color="auto" w:fill="DDD9C3" w:themeFill="background2" w:themeFillShade="E6"/>
              <w:spacing w:after="200"/>
              <w:rPr>
                <w:b/>
                <w:sz w:val="28"/>
              </w:rPr>
            </w:pPr>
            <w:r w:rsidRPr="000F4C97">
              <w:rPr>
                <w:b/>
                <w:sz w:val="28"/>
              </w:rPr>
              <w:t>SKUTECZNIEJSZE STOSOWANIE PRZEPISÓW UE Z ZAKRESU</w:t>
            </w:r>
          </w:p>
          <w:p w:rsidR="00317AB9" w:rsidRPr="000F4C97" w:rsidRDefault="00B032AE" w:rsidP="00437FEB">
            <w:pPr>
              <w:shd w:val="clear" w:color="auto" w:fill="DDD9C3" w:themeFill="background2" w:themeFillShade="E6"/>
              <w:spacing w:after="200"/>
              <w:rPr>
                <w:b/>
                <w:sz w:val="28"/>
              </w:rPr>
            </w:pPr>
            <w:r w:rsidRPr="000F4C97">
              <w:rPr>
                <w:b/>
                <w:sz w:val="28"/>
              </w:rPr>
              <w:t>PRAWA RODZINNEGO I SPADKOWEGO</w:t>
            </w:r>
            <w:r w:rsidR="00E7624D" w:rsidRPr="000F4C97">
              <w:rPr>
                <w:b/>
                <w:sz w:val="28"/>
              </w:rPr>
              <w:t xml:space="preserve"> </w:t>
            </w:r>
          </w:p>
          <w:p w:rsidR="00317AB9" w:rsidRPr="00F35277" w:rsidRDefault="00F35277" w:rsidP="00437FEB">
            <w:pPr>
              <w:spacing w:after="200"/>
              <w:rPr>
                <w:sz w:val="24"/>
                <w:szCs w:val="24"/>
              </w:rPr>
            </w:pPr>
            <w:r w:rsidRPr="00F35277">
              <w:rPr>
                <w:sz w:val="24"/>
                <w:szCs w:val="24"/>
              </w:rPr>
              <w:t>Poziom podstawowy</w:t>
            </w:r>
          </w:p>
          <w:p w:rsidR="00317AB9" w:rsidRPr="000F4C97" w:rsidRDefault="00B032AE" w:rsidP="00437FEB">
            <w:pPr>
              <w:shd w:val="clear" w:color="auto" w:fill="DDD9C3" w:themeFill="background2" w:themeFillShade="E6"/>
              <w:spacing w:after="200"/>
              <w:rPr>
                <w:b/>
                <w:sz w:val="28"/>
                <w:szCs w:val="24"/>
              </w:rPr>
            </w:pPr>
            <w:r w:rsidRPr="000F4C97">
              <w:rPr>
                <w:b/>
                <w:sz w:val="28"/>
              </w:rPr>
              <w:t>28-29 września 2017 r., sale1.37, 1.38, 1.39 (oficyna, I piętro)</w:t>
            </w:r>
          </w:p>
          <w:p w:rsidR="00317AB9" w:rsidRPr="000F4C97" w:rsidRDefault="00317AB9" w:rsidP="00437FEB">
            <w:pPr>
              <w:shd w:val="clear" w:color="auto" w:fill="DDD9C3" w:themeFill="background2" w:themeFillShade="E6"/>
              <w:spacing w:after="200"/>
              <w:rPr>
                <w:b/>
                <w:sz w:val="28"/>
                <w:szCs w:val="24"/>
              </w:rPr>
            </w:pPr>
            <w:proofErr w:type="spellStart"/>
            <w:r w:rsidRPr="000F4C97">
              <w:rPr>
                <w:b/>
                <w:sz w:val="28"/>
              </w:rPr>
              <w:t>KSSiP</w:t>
            </w:r>
            <w:proofErr w:type="spellEnd"/>
            <w:r w:rsidRPr="000F4C97">
              <w:rPr>
                <w:b/>
                <w:sz w:val="28"/>
              </w:rPr>
              <w:t>, ul. Krakowskie Przedmieście 62, Lublin</w:t>
            </w:r>
          </w:p>
          <w:p w:rsidR="00317AB9" w:rsidRPr="000F4C97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0F4C97" w:rsidRDefault="00317AB9" w:rsidP="00437FEB">
            <w:pPr>
              <w:spacing w:after="200"/>
              <w:rPr>
                <w:sz w:val="28"/>
                <w:szCs w:val="24"/>
              </w:rPr>
            </w:pPr>
            <w:r w:rsidRPr="000F4C97">
              <w:rPr>
                <w:sz w:val="28"/>
              </w:rPr>
              <w:t xml:space="preserve">Organizator warsztatów: </w:t>
            </w:r>
            <w:proofErr w:type="spellStart"/>
            <w:r w:rsidRPr="000F4C97">
              <w:rPr>
                <w:sz w:val="28"/>
              </w:rPr>
              <w:t>KSSiP</w:t>
            </w:r>
            <w:proofErr w:type="spellEnd"/>
            <w:r w:rsidRPr="000F4C97">
              <w:rPr>
                <w:sz w:val="28"/>
              </w:rPr>
              <w:t xml:space="preserve"> we współpracy z ERA</w:t>
            </w:r>
          </w:p>
          <w:p w:rsidR="00317AB9" w:rsidRPr="000F4C97" w:rsidRDefault="00317AB9" w:rsidP="00437FEB">
            <w:pPr>
              <w:spacing w:after="200"/>
              <w:rPr>
                <w:sz w:val="28"/>
                <w:szCs w:val="24"/>
              </w:rPr>
            </w:pPr>
          </w:p>
          <w:p w:rsidR="00317AB9" w:rsidRPr="000F4C97" w:rsidRDefault="00317AB9" w:rsidP="00437FEB">
            <w:pPr>
              <w:spacing w:after="200"/>
              <w:rPr>
                <w:sz w:val="28"/>
                <w:szCs w:val="24"/>
              </w:rPr>
            </w:pPr>
            <w:r w:rsidRPr="000F4C97">
              <w:rPr>
                <w:sz w:val="28"/>
              </w:rPr>
              <w:t>Sygnatura: M16/17</w:t>
            </w:r>
          </w:p>
          <w:p w:rsidR="000471CF" w:rsidRPr="000F4C97" w:rsidRDefault="000471CF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0471CF" w:rsidRPr="000F4C97" w:rsidRDefault="000471CF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4F04F9" w:rsidRDefault="00A92C0A" w:rsidP="00437FEB">
            <w:pPr>
              <w:spacing w:after="200"/>
              <w:rPr>
                <w:sz w:val="24"/>
                <w:szCs w:val="24"/>
              </w:rPr>
            </w:pPr>
            <w:r w:rsidRPr="009B4D69">
              <w:rPr>
                <w:sz w:val="24"/>
                <w:szCs w:val="24"/>
              </w:rPr>
              <w:t>Zakwaterowanie uczestników</w:t>
            </w:r>
            <w:r w:rsidR="004F04F9">
              <w:rPr>
                <w:sz w:val="24"/>
                <w:szCs w:val="24"/>
              </w:rPr>
              <w:t xml:space="preserve"> (27-29.09.2017)</w:t>
            </w:r>
            <w:r w:rsidRPr="009B4D69">
              <w:rPr>
                <w:sz w:val="24"/>
                <w:szCs w:val="24"/>
              </w:rPr>
              <w:t xml:space="preserve">: </w:t>
            </w:r>
          </w:p>
          <w:p w:rsidR="000471CF" w:rsidRPr="009014B0" w:rsidRDefault="009B4D69" w:rsidP="00437FEB">
            <w:pPr>
              <w:spacing w:after="200"/>
              <w:rPr>
                <w:sz w:val="24"/>
                <w:szCs w:val="24"/>
              </w:rPr>
            </w:pPr>
            <w:r w:rsidRPr="009014B0">
              <w:rPr>
                <w:sz w:val="24"/>
                <w:szCs w:val="24"/>
              </w:rPr>
              <w:t xml:space="preserve">Hotel Victoria, </w:t>
            </w:r>
            <w:hyperlink r:id="rId10" w:history="1">
              <w:r w:rsidRPr="009014B0">
                <w:rPr>
                  <w:rStyle w:val="Hipercze"/>
                  <w:sz w:val="24"/>
                  <w:szCs w:val="24"/>
                </w:rPr>
                <w:t>http://www.victorialublin.pl/</w:t>
              </w:r>
            </w:hyperlink>
          </w:p>
          <w:p w:rsidR="000471CF" w:rsidRPr="009014B0" w:rsidRDefault="000471CF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3E6D13" w:rsidRPr="009014B0" w:rsidRDefault="003E6D13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EE72EB" w:rsidRPr="009014B0" w:rsidRDefault="00EE72EB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EE72EB" w:rsidRPr="009014B0" w:rsidRDefault="00EE72EB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EE72EB" w:rsidRPr="009014B0" w:rsidRDefault="00EE72EB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F35277" w:rsidRPr="009014B0" w:rsidRDefault="00F35277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3E6D13" w:rsidRPr="009014B0" w:rsidRDefault="003E6D13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0471CF" w:rsidRPr="009014B0" w:rsidRDefault="000471CF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B032AE" w:rsidRPr="000F4C97" w:rsidRDefault="000471CF" w:rsidP="000471CF">
            <w:pPr>
              <w:spacing w:after="200"/>
              <w:ind w:left="1593" w:right="5278"/>
              <w:rPr>
                <w:sz w:val="24"/>
                <w:szCs w:val="24"/>
              </w:rPr>
            </w:pPr>
            <w:r w:rsidRPr="000F4C97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38100</wp:posOffset>
                  </wp:positionV>
                  <wp:extent cx="713105" cy="48133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F4C97">
              <w:rPr>
                <w:sz w:val="24"/>
              </w:rPr>
              <w:t>Warsztaty organizowane</w:t>
            </w:r>
            <w:r w:rsidR="00E7624D" w:rsidRPr="000F4C97">
              <w:rPr>
                <w:sz w:val="24"/>
              </w:rPr>
              <w:t xml:space="preserve"> </w:t>
            </w:r>
            <w:r w:rsidRPr="000F4C97">
              <w:rPr>
                <w:sz w:val="24"/>
              </w:rPr>
              <w:t>w ramach serii są współfinansowane przez UE w ramach programu „Wymiar sprawiedliwości w sprawach cywilnych” na lata 2014-2020.</w:t>
            </w:r>
          </w:p>
          <w:p w:rsidR="009B4D69" w:rsidRDefault="009B4D69" w:rsidP="00DC01ED">
            <w:pPr>
              <w:rPr>
                <w:b/>
                <w:sz w:val="24"/>
                <w:szCs w:val="24"/>
                <w:u w:val="single"/>
              </w:rPr>
            </w:pPr>
          </w:p>
          <w:p w:rsidR="00DC01ED" w:rsidRPr="000471CF" w:rsidRDefault="00DC01ED" w:rsidP="00DC01ED">
            <w:pPr>
              <w:rPr>
                <w:b/>
                <w:sz w:val="24"/>
                <w:szCs w:val="24"/>
                <w:u w:val="single"/>
              </w:rPr>
            </w:pPr>
            <w:r w:rsidRPr="000471CF">
              <w:rPr>
                <w:b/>
                <w:sz w:val="24"/>
                <w:szCs w:val="24"/>
                <w:u w:val="single"/>
              </w:rPr>
              <w:lastRenderedPageBreak/>
              <w:t>Wykładowcy:</w:t>
            </w:r>
          </w:p>
          <w:p w:rsidR="00DC01ED" w:rsidRDefault="00DC01ED" w:rsidP="00DC01ED">
            <w:pPr>
              <w:ind w:right="4569"/>
              <w:rPr>
                <w:b/>
                <w:sz w:val="24"/>
              </w:rPr>
            </w:pPr>
          </w:p>
          <w:p w:rsidR="00DC01ED" w:rsidRPr="00B032AE" w:rsidRDefault="00DC01ED" w:rsidP="008D4C0E">
            <w:pPr>
              <w:tabs>
                <w:tab w:val="left" w:pos="8431"/>
              </w:tabs>
              <w:ind w:right="4569"/>
              <w:jc w:val="both"/>
              <w:rPr>
                <w:sz w:val="24"/>
              </w:rPr>
            </w:pPr>
            <w:r w:rsidRPr="00B032AE">
              <w:rPr>
                <w:b/>
                <w:sz w:val="24"/>
              </w:rPr>
              <w:t>Agata Srokowska</w:t>
            </w:r>
            <w:r w:rsidRPr="00B032AE">
              <w:rPr>
                <w:sz w:val="24"/>
              </w:rPr>
              <w:t xml:space="preserve"> - sędzia Sądu Rejonowego w Oławie, delegowana do Ministerstwa Sprawiedliwości Departamentu Prawa Cywilnego w Wydziale Europejskiego Prawa Cywilnego, w 2011 r. w trakcie polskiego przewodnictwa w Radzie Unii Europejskiej pełniła funkcję Przewodniczącego grupy roboczej prawa spadkowego w Komitecie ds. Prawa Cywilnego Rady Unii Europejskiej, prowadząc negocjacje nad rozporządzeniem Parlamentu Europejskiego i Rady w sprawie jurysdykcji, prawa właściwego, uznawania </w:t>
            </w:r>
            <w:r w:rsidR="00F35E5F">
              <w:rPr>
                <w:sz w:val="24"/>
              </w:rPr>
              <w:t xml:space="preserve">                </w:t>
            </w:r>
            <w:r w:rsidRPr="00B032AE">
              <w:rPr>
                <w:sz w:val="24"/>
              </w:rPr>
              <w:t>i wykonywania orzeczeń sądowych i dokumentów urzędowych dotyczących dziedziczenia oraz w sprawie utworzenia Europejskiego Poświadczenia Spadkowego.</w:t>
            </w:r>
          </w:p>
          <w:p w:rsidR="00B032AE" w:rsidRPr="000F4C97" w:rsidRDefault="00B032AE" w:rsidP="008D4C0E">
            <w:pPr>
              <w:tabs>
                <w:tab w:val="left" w:pos="8431"/>
              </w:tabs>
              <w:ind w:right="4569"/>
              <w:rPr>
                <w:b/>
                <w:sz w:val="24"/>
              </w:rPr>
            </w:pPr>
          </w:p>
          <w:p w:rsidR="009014B0" w:rsidRPr="009014B0" w:rsidRDefault="00F35277" w:rsidP="008D4C0E">
            <w:pPr>
              <w:tabs>
                <w:tab w:val="left" w:pos="8431"/>
              </w:tabs>
              <w:spacing w:after="200"/>
              <w:ind w:right="4569"/>
              <w:jc w:val="both"/>
              <w:rPr>
                <w:sz w:val="24"/>
              </w:rPr>
            </w:pPr>
            <w:r w:rsidRPr="00A03093">
              <w:rPr>
                <w:b/>
                <w:sz w:val="24"/>
                <w:szCs w:val="24"/>
              </w:rPr>
              <w:t>Agnieszka Wiśniewska-</w:t>
            </w:r>
            <w:proofErr w:type="spellStart"/>
            <w:r w:rsidRPr="00A03093">
              <w:rPr>
                <w:b/>
                <w:sz w:val="24"/>
                <w:szCs w:val="24"/>
              </w:rPr>
              <w:t>Kaluta</w:t>
            </w:r>
            <w:proofErr w:type="spellEnd"/>
            <w:r w:rsidRPr="00A03093">
              <w:rPr>
                <w:b/>
                <w:sz w:val="24"/>
                <w:szCs w:val="24"/>
              </w:rPr>
              <w:t xml:space="preserve"> </w:t>
            </w:r>
            <w:r w:rsidRPr="00F35277">
              <w:rPr>
                <w:sz w:val="24"/>
                <w:szCs w:val="24"/>
              </w:rPr>
              <w:t xml:space="preserve">- </w:t>
            </w:r>
            <w:r w:rsidRPr="00A03093">
              <w:rPr>
                <w:sz w:val="24"/>
                <w:szCs w:val="24"/>
              </w:rPr>
              <w:t xml:space="preserve">sędzia Sądu Rejonowego w </w:t>
            </w:r>
            <w:r w:rsidR="009014B0">
              <w:rPr>
                <w:sz w:val="24"/>
                <w:szCs w:val="24"/>
              </w:rPr>
              <w:t>(</w:t>
            </w:r>
            <w:r w:rsidR="009014B0" w:rsidRPr="009014B0">
              <w:rPr>
                <w:sz w:val="24"/>
              </w:rPr>
              <w:t xml:space="preserve">III Wydział Rodzinny </w:t>
            </w:r>
            <w:r w:rsidR="008D4C0E">
              <w:rPr>
                <w:sz w:val="24"/>
              </w:rPr>
              <w:t xml:space="preserve">                           </w:t>
            </w:r>
            <w:r w:rsidR="009014B0" w:rsidRPr="009014B0">
              <w:rPr>
                <w:sz w:val="24"/>
              </w:rPr>
              <w:t>i Nieletnich</w:t>
            </w:r>
            <w:r w:rsidR="009014B0">
              <w:rPr>
                <w:sz w:val="24"/>
              </w:rPr>
              <w:t>)</w:t>
            </w:r>
            <w:r w:rsidR="009014B0" w:rsidRPr="009014B0">
              <w:rPr>
                <w:sz w:val="24"/>
              </w:rPr>
              <w:t xml:space="preserve">. </w:t>
            </w:r>
            <w:proofErr w:type="spellStart"/>
            <w:r w:rsidR="009014B0" w:rsidRPr="009014B0">
              <w:rPr>
                <w:sz w:val="24"/>
                <w:lang w:val="en-GB"/>
              </w:rPr>
              <w:t>Sędzia</w:t>
            </w:r>
            <w:proofErr w:type="spellEnd"/>
            <w:r w:rsidR="009014B0" w:rsidRPr="009014B0">
              <w:rPr>
                <w:sz w:val="24"/>
                <w:lang w:val="en-GB"/>
              </w:rPr>
              <w:t xml:space="preserve"> </w:t>
            </w:r>
            <w:proofErr w:type="spellStart"/>
            <w:r w:rsidR="009014B0" w:rsidRPr="009014B0">
              <w:rPr>
                <w:sz w:val="24"/>
                <w:lang w:val="en-GB"/>
              </w:rPr>
              <w:t>łącznikowy</w:t>
            </w:r>
            <w:proofErr w:type="spellEnd"/>
            <w:r w:rsidR="009014B0" w:rsidRPr="009014B0">
              <w:rPr>
                <w:sz w:val="24"/>
                <w:lang w:val="en-GB"/>
              </w:rPr>
              <w:t xml:space="preserve"> </w:t>
            </w:r>
            <w:proofErr w:type="spellStart"/>
            <w:r w:rsidR="009014B0" w:rsidRPr="009014B0">
              <w:rPr>
                <w:sz w:val="24"/>
                <w:lang w:val="en-GB"/>
              </w:rPr>
              <w:t>dla</w:t>
            </w:r>
            <w:proofErr w:type="spellEnd"/>
            <w:r w:rsidR="009014B0" w:rsidRPr="009014B0">
              <w:rPr>
                <w:sz w:val="24"/>
                <w:lang w:val="en-GB"/>
              </w:rPr>
              <w:t xml:space="preserve"> Hague International Network of Judges  (INHJ Network Judge) od 2013 </w:t>
            </w:r>
            <w:proofErr w:type="spellStart"/>
            <w:r w:rsidR="009014B0" w:rsidRPr="009014B0">
              <w:rPr>
                <w:sz w:val="24"/>
                <w:lang w:val="en-GB"/>
              </w:rPr>
              <w:t>roku</w:t>
            </w:r>
            <w:proofErr w:type="spellEnd"/>
            <w:r w:rsidR="009014B0" w:rsidRPr="009014B0">
              <w:rPr>
                <w:sz w:val="24"/>
                <w:lang w:val="en-GB"/>
              </w:rPr>
              <w:t xml:space="preserve">. </w:t>
            </w:r>
            <w:r w:rsidR="009014B0" w:rsidRPr="009014B0">
              <w:rPr>
                <w:sz w:val="24"/>
              </w:rPr>
              <w:t xml:space="preserve">Członek </w:t>
            </w:r>
            <w:proofErr w:type="spellStart"/>
            <w:r w:rsidR="009014B0" w:rsidRPr="009014B0">
              <w:rPr>
                <w:sz w:val="24"/>
              </w:rPr>
              <w:t>Association</w:t>
            </w:r>
            <w:proofErr w:type="spellEnd"/>
            <w:r w:rsidR="009014B0" w:rsidRPr="009014B0">
              <w:rPr>
                <w:sz w:val="24"/>
              </w:rPr>
              <w:t xml:space="preserve"> of International Family </w:t>
            </w:r>
            <w:proofErr w:type="spellStart"/>
            <w:r w:rsidR="009014B0" w:rsidRPr="009014B0">
              <w:rPr>
                <w:sz w:val="24"/>
              </w:rPr>
              <w:t>Judges</w:t>
            </w:r>
            <w:proofErr w:type="spellEnd"/>
            <w:r w:rsidR="009014B0" w:rsidRPr="009014B0">
              <w:rPr>
                <w:sz w:val="24"/>
              </w:rPr>
              <w:t>.</w:t>
            </w:r>
          </w:p>
          <w:p w:rsidR="00317AB9" w:rsidRPr="000F4C97" w:rsidRDefault="009014B0" w:rsidP="008D4C0E">
            <w:pPr>
              <w:tabs>
                <w:tab w:val="left" w:pos="8431"/>
              </w:tabs>
              <w:spacing w:after="200"/>
              <w:ind w:right="4569"/>
              <w:jc w:val="both"/>
              <w:rPr>
                <w:sz w:val="24"/>
              </w:rPr>
            </w:pPr>
            <w:r w:rsidRPr="009014B0">
              <w:rPr>
                <w:sz w:val="24"/>
              </w:rPr>
              <w:t>Prowadzone wykłady:</w:t>
            </w:r>
            <w:r>
              <w:rPr>
                <w:sz w:val="24"/>
              </w:rPr>
              <w:t xml:space="preserve"> g</w:t>
            </w:r>
            <w:r w:rsidRPr="009014B0">
              <w:rPr>
                <w:sz w:val="24"/>
              </w:rPr>
              <w:t xml:space="preserve">rudzień 2014 roku </w:t>
            </w:r>
            <w:r>
              <w:rPr>
                <w:sz w:val="24"/>
              </w:rPr>
              <w:t>-</w:t>
            </w:r>
            <w:r w:rsidRPr="009014B0">
              <w:rPr>
                <w:sz w:val="24"/>
              </w:rPr>
              <w:t xml:space="preserve"> wykład w Centrum Zdrowia Dziecka </w:t>
            </w:r>
            <w:r w:rsidR="008D4C0E">
              <w:rPr>
                <w:sz w:val="24"/>
              </w:rPr>
              <w:t xml:space="preserve">                              </w:t>
            </w:r>
            <w:r w:rsidRPr="009014B0">
              <w:rPr>
                <w:sz w:val="24"/>
              </w:rPr>
              <w:t>w Warszawie na temat „Postępowanie przed Sądem w sytuacji zagrożenia dobra dziecka”</w:t>
            </w:r>
            <w:r>
              <w:rPr>
                <w:sz w:val="24"/>
              </w:rPr>
              <w:t>; w</w:t>
            </w:r>
            <w:r w:rsidRPr="009014B0">
              <w:rPr>
                <w:sz w:val="24"/>
              </w:rPr>
              <w:t xml:space="preserve">rzesień 2015 r </w:t>
            </w:r>
            <w:r>
              <w:rPr>
                <w:sz w:val="24"/>
              </w:rPr>
              <w:t>- k</w:t>
            </w:r>
            <w:r w:rsidRPr="009014B0">
              <w:rPr>
                <w:sz w:val="24"/>
              </w:rPr>
              <w:t>onferencja organizowana przez Komitet Ochrony Praw Dziecka, wykład na temat: „Aspekty zabezpieczenia dobra dziecka w postępowaniu sądowym w sytuacjo konfliktu rodzicielskiego”)</w:t>
            </w:r>
            <w:r>
              <w:rPr>
                <w:sz w:val="24"/>
              </w:rPr>
              <w:t>; m</w:t>
            </w:r>
            <w:r w:rsidRPr="009014B0">
              <w:rPr>
                <w:sz w:val="24"/>
              </w:rPr>
              <w:t xml:space="preserve">aj 2016 r </w:t>
            </w:r>
            <w:r>
              <w:rPr>
                <w:sz w:val="24"/>
              </w:rPr>
              <w:t xml:space="preserve">- </w:t>
            </w:r>
            <w:r w:rsidRPr="009014B0">
              <w:rPr>
                <w:sz w:val="24"/>
              </w:rPr>
              <w:t>wykład na konferencji organizowanej przez Ministerstwo Sprawiedliwości w Ambasadzie RP w Londynie dla przedstawicieli różnych zawodów prawniczych w Wielkiej Brytanii poświęconej międzynarodowemu prawu rodzinnemu.</w:t>
            </w:r>
          </w:p>
          <w:p w:rsidR="00B032AE" w:rsidRPr="000F4C97" w:rsidRDefault="00B032AE" w:rsidP="00317AB9">
            <w:pPr>
              <w:spacing w:after="200"/>
            </w:pPr>
          </w:p>
          <w:p w:rsidR="009B4D69" w:rsidRDefault="009B4D69" w:rsidP="00B032AE">
            <w:pPr>
              <w:spacing w:after="200"/>
              <w:ind w:right="5136"/>
            </w:pPr>
          </w:p>
          <w:p w:rsidR="000471CF" w:rsidRPr="000F4C97" w:rsidRDefault="000471CF" w:rsidP="00B032AE">
            <w:pPr>
              <w:spacing w:after="200"/>
              <w:ind w:right="5136"/>
            </w:pPr>
          </w:p>
          <w:p w:rsidR="00B032AE" w:rsidRPr="000F4C97" w:rsidRDefault="00B032AE" w:rsidP="00B032AE">
            <w:pPr>
              <w:ind w:right="4569"/>
              <w:jc w:val="both"/>
              <w:rPr>
                <w:b/>
                <w:sz w:val="24"/>
              </w:rPr>
            </w:pPr>
            <w:r w:rsidRPr="000F4C97">
              <w:rPr>
                <w:b/>
                <w:sz w:val="24"/>
              </w:rPr>
              <w:t>Cel</w:t>
            </w:r>
          </w:p>
          <w:p w:rsidR="00B032AE" w:rsidRPr="000F4C97" w:rsidRDefault="00B032AE" w:rsidP="00B032AE">
            <w:pPr>
              <w:ind w:right="4569"/>
              <w:jc w:val="both"/>
              <w:rPr>
                <w:sz w:val="24"/>
              </w:rPr>
            </w:pPr>
          </w:p>
          <w:p w:rsidR="00B032AE" w:rsidRPr="000F4C97" w:rsidRDefault="00B032AE" w:rsidP="00B032AE">
            <w:pPr>
              <w:ind w:right="4569"/>
              <w:jc w:val="both"/>
              <w:rPr>
                <w:sz w:val="24"/>
              </w:rPr>
            </w:pPr>
            <w:r w:rsidRPr="000F4C97">
              <w:rPr>
                <w:sz w:val="24"/>
              </w:rPr>
              <w:t xml:space="preserve">Warsztaty mają na celu zaprezentowanie unijnych norm z zakresu prawa rodzinnego </w:t>
            </w:r>
            <w:r w:rsidR="00F35E5F">
              <w:rPr>
                <w:sz w:val="24"/>
              </w:rPr>
              <w:t xml:space="preserve">                   </w:t>
            </w:r>
            <w:r w:rsidRPr="000F4C97">
              <w:rPr>
                <w:sz w:val="24"/>
              </w:rPr>
              <w:t>i spadkowego. Warsztaty stanowią wprowadzenie do przedmiotowego tematu</w:t>
            </w:r>
            <w:r w:rsidR="009140F8">
              <w:rPr>
                <w:sz w:val="24"/>
              </w:rPr>
              <w:t xml:space="preserve">                         </w:t>
            </w:r>
            <w:r w:rsidRPr="000F4C97">
              <w:rPr>
                <w:sz w:val="24"/>
              </w:rPr>
              <w:t xml:space="preserve"> i adresowane są do osób, które nie posiadają dużego doświadczenia w zakresie europejskiego prawa rodzinnego i</w:t>
            </w:r>
            <w:r w:rsidR="00E7624D" w:rsidRPr="000F4C97">
              <w:rPr>
                <w:sz w:val="24"/>
              </w:rPr>
              <w:t xml:space="preserve"> </w:t>
            </w:r>
            <w:r w:rsidRPr="000F4C97">
              <w:rPr>
                <w:sz w:val="24"/>
              </w:rPr>
              <w:t>spadkowego.</w:t>
            </w:r>
          </w:p>
          <w:p w:rsidR="00B032AE" w:rsidRPr="000F4C97" w:rsidRDefault="00B032AE" w:rsidP="00B032AE">
            <w:pPr>
              <w:ind w:right="4569"/>
              <w:jc w:val="both"/>
              <w:rPr>
                <w:sz w:val="24"/>
              </w:rPr>
            </w:pPr>
          </w:p>
          <w:p w:rsidR="00B032AE" w:rsidRPr="000F4C97" w:rsidRDefault="00B032AE" w:rsidP="00B032AE">
            <w:pPr>
              <w:ind w:right="4569"/>
              <w:jc w:val="both"/>
              <w:rPr>
                <w:b/>
                <w:sz w:val="24"/>
              </w:rPr>
            </w:pPr>
            <w:r w:rsidRPr="000F4C97">
              <w:rPr>
                <w:b/>
                <w:sz w:val="24"/>
              </w:rPr>
              <w:t>Kluczowe zagadnienia</w:t>
            </w:r>
          </w:p>
          <w:p w:rsidR="00B032AE" w:rsidRPr="000F4C97" w:rsidRDefault="00B032AE" w:rsidP="00B032AE">
            <w:pPr>
              <w:ind w:right="4569"/>
              <w:jc w:val="both"/>
              <w:rPr>
                <w:sz w:val="24"/>
              </w:rPr>
            </w:pPr>
          </w:p>
          <w:p w:rsidR="00B032AE" w:rsidRPr="000F4C97" w:rsidRDefault="00B032AE" w:rsidP="00B032AE">
            <w:pPr>
              <w:ind w:right="4569"/>
              <w:jc w:val="both"/>
              <w:rPr>
                <w:sz w:val="24"/>
              </w:rPr>
            </w:pPr>
            <w:r w:rsidRPr="000F4C97">
              <w:rPr>
                <w:sz w:val="24"/>
              </w:rPr>
              <w:t>•</w:t>
            </w:r>
            <w:r w:rsidRPr="000F4C97">
              <w:tab/>
            </w:r>
            <w:r w:rsidRPr="000F4C97">
              <w:rPr>
                <w:sz w:val="24"/>
              </w:rPr>
              <w:t xml:space="preserve">Zagadnienie 1: „Transgraniczne sprawy spadkowe” </w:t>
            </w:r>
          </w:p>
          <w:p w:rsidR="00B032AE" w:rsidRPr="000F4C97" w:rsidRDefault="00B032AE" w:rsidP="00B032AE">
            <w:pPr>
              <w:ind w:right="4569"/>
              <w:jc w:val="both"/>
              <w:rPr>
                <w:sz w:val="24"/>
              </w:rPr>
            </w:pPr>
            <w:r w:rsidRPr="000F4C97">
              <w:rPr>
                <w:sz w:val="24"/>
              </w:rPr>
              <w:t>•</w:t>
            </w:r>
            <w:r w:rsidRPr="000F4C97">
              <w:tab/>
            </w:r>
            <w:r w:rsidRPr="000F4C97">
              <w:rPr>
                <w:sz w:val="24"/>
              </w:rPr>
              <w:t xml:space="preserve">Zagadnienie 2: „Transgraniczne sprawy rozwodowe i alimentacyjne” </w:t>
            </w:r>
          </w:p>
          <w:p w:rsidR="00B032AE" w:rsidRPr="000F4C97" w:rsidRDefault="00B032AE" w:rsidP="00B032AE">
            <w:pPr>
              <w:ind w:right="4569"/>
              <w:jc w:val="both"/>
              <w:rPr>
                <w:sz w:val="24"/>
              </w:rPr>
            </w:pPr>
            <w:r w:rsidRPr="000F4C97">
              <w:rPr>
                <w:sz w:val="24"/>
              </w:rPr>
              <w:t>•</w:t>
            </w:r>
            <w:r w:rsidRPr="000F4C97">
              <w:tab/>
            </w:r>
            <w:r w:rsidRPr="000F4C97">
              <w:rPr>
                <w:sz w:val="24"/>
              </w:rPr>
              <w:t>Zagadnienie 3: „Odpowiedzialność rodzicielska w ujęciu transgranicznym”</w:t>
            </w:r>
          </w:p>
          <w:p w:rsidR="00B032AE" w:rsidRPr="000F4C97" w:rsidRDefault="00B032AE" w:rsidP="00B032AE">
            <w:pPr>
              <w:ind w:right="4569"/>
              <w:jc w:val="both"/>
              <w:rPr>
                <w:sz w:val="24"/>
              </w:rPr>
            </w:pPr>
          </w:p>
          <w:p w:rsidR="00B032AE" w:rsidRPr="000F4C97" w:rsidRDefault="00B032AE" w:rsidP="00B032AE">
            <w:pPr>
              <w:ind w:right="4569"/>
              <w:jc w:val="both"/>
              <w:rPr>
                <w:b/>
                <w:sz w:val="24"/>
              </w:rPr>
            </w:pPr>
            <w:r w:rsidRPr="000F4C97">
              <w:rPr>
                <w:b/>
                <w:sz w:val="24"/>
              </w:rPr>
              <w:t>Metodologia</w:t>
            </w:r>
          </w:p>
          <w:p w:rsidR="00B032AE" w:rsidRPr="000F4C97" w:rsidRDefault="00B032AE" w:rsidP="00B032AE">
            <w:pPr>
              <w:ind w:right="4569"/>
              <w:jc w:val="both"/>
              <w:rPr>
                <w:sz w:val="24"/>
              </w:rPr>
            </w:pPr>
          </w:p>
          <w:p w:rsidR="00B032AE" w:rsidRPr="000F4C97" w:rsidRDefault="00B032AE" w:rsidP="00B032AE">
            <w:pPr>
              <w:spacing w:after="200"/>
              <w:ind w:right="4569"/>
              <w:jc w:val="both"/>
              <w:rPr>
                <w:sz w:val="24"/>
              </w:rPr>
            </w:pPr>
            <w:r w:rsidRPr="000F4C97">
              <w:rPr>
                <w:sz w:val="24"/>
              </w:rPr>
              <w:t>Szkolenie ma formę warsztatów i opiera się na rozwiązywaniu problemów wynikających z prezentowanych studiów przypadku. Dzięki takiej formie uczestnicy szkolenia mają możliwość aktywnego zaangażowania się w zajęcia oraz wymiany wiedzy i najlepszych praktyk. Materiały szkoleniowe zostały opracowane przez uznanych ekspertów UE</w:t>
            </w:r>
            <w:r w:rsidR="00F35E5F">
              <w:rPr>
                <w:sz w:val="24"/>
              </w:rPr>
              <w:t xml:space="preserve">                         </w:t>
            </w:r>
            <w:bookmarkStart w:id="0" w:name="_GoBack"/>
            <w:bookmarkEnd w:id="0"/>
            <w:r w:rsidRPr="000F4C97">
              <w:rPr>
                <w:sz w:val="24"/>
              </w:rPr>
              <w:t xml:space="preserve"> z myślą o ułatwieniu prawnikom-praktykom stosowania prawa unijnego w sprawach cywilnych.</w:t>
            </w:r>
          </w:p>
          <w:p w:rsidR="00F35277" w:rsidRPr="000F4C97" w:rsidRDefault="00F35277" w:rsidP="000471CF"/>
        </w:tc>
      </w:tr>
      <w:tr w:rsidR="00317AB9" w:rsidRPr="000F4C97" w:rsidTr="009014B0">
        <w:trPr>
          <w:trHeight w:val="2444"/>
        </w:trPr>
        <w:tc>
          <w:tcPr>
            <w:tcW w:w="2269" w:type="dxa"/>
            <w:vMerge/>
            <w:shd w:val="clear" w:color="auto" w:fill="DDD9C3"/>
          </w:tcPr>
          <w:p w:rsidR="00317AB9" w:rsidRPr="000F4C97" w:rsidRDefault="00317AB9" w:rsidP="00317AB9">
            <w:pPr>
              <w:spacing w:after="200" w:line="276" w:lineRule="auto"/>
            </w:pPr>
          </w:p>
        </w:tc>
        <w:tc>
          <w:tcPr>
            <w:tcW w:w="13358" w:type="dxa"/>
            <w:vMerge/>
          </w:tcPr>
          <w:p w:rsidR="00317AB9" w:rsidRPr="000F4C97" w:rsidRDefault="00317AB9" w:rsidP="00317AB9">
            <w:pPr>
              <w:spacing w:after="200" w:line="276" w:lineRule="auto"/>
            </w:pPr>
          </w:p>
        </w:tc>
      </w:tr>
    </w:tbl>
    <w:p w:rsidR="00317AB9" w:rsidRPr="000F4C97" w:rsidRDefault="0069771E" w:rsidP="00437FEB">
      <w:pPr>
        <w:shd w:val="clear" w:color="auto" w:fill="DDD9C3" w:themeFill="background2" w:themeFillShade="E6"/>
        <w:spacing w:line="240" w:lineRule="auto"/>
        <w:rPr>
          <w:b/>
          <w:sz w:val="28"/>
          <w:szCs w:val="28"/>
        </w:rPr>
      </w:pPr>
      <w:r w:rsidRPr="000F4C97">
        <w:rPr>
          <w:b/>
          <w:sz w:val="28"/>
        </w:rPr>
        <w:lastRenderedPageBreak/>
        <w:t>28 września 2017 r., czwartek</w:t>
      </w:r>
    </w:p>
    <w:p w:rsidR="00317AB9" w:rsidRPr="000F4C97" w:rsidRDefault="00317AB9" w:rsidP="0034276B">
      <w:pPr>
        <w:spacing w:line="240" w:lineRule="auto"/>
        <w:rPr>
          <w:rFonts w:cs="Times New Roman"/>
          <w:sz w:val="24"/>
          <w:szCs w:val="24"/>
        </w:rPr>
      </w:pPr>
      <w:r w:rsidRPr="000F4C97">
        <w:rPr>
          <w:b/>
          <w:sz w:val="24"/>
        </w:rPr>
        <w:t>08:45</w:t>
      </w:r>
      <w:r w:rsidRPr="000F4C97">
        <w:tab/>
      </w:r>
      <w:r w:rsidRPr="000F4C97">
        <w:tab/>
      </w:r>
      <w:r w:rsidRPr="000F4C97">
        <w:rPr>
          <w:sz w:val="24"/>
        </w:rPr>
        <w:t>Przybycie i rejestracja uczestników szkolenia</w:t>
      </w:r>
    </w:p>
    <w:p w:rsidR="00312D49" w:rsidRPr="000F4C97" w:rsidRDefault="00312D49" w:rsidP="00312D49">
      <w:pPr>
        <w:pStyle w:val="Akapitzlist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0F4C97">
        <w:rPr>
          <w:b/>
          <w:caps/>
          <w:sz w:val="24"/>
        </w:rPr>
        <w:t xml:space="preserve">Transgraniczne sprawy spadkowe </w:t>
      </w:r>
      <w:r w:rsidRPr="000F4C97">
        <w:rPr>
          <w:i/>
          <w:caps/>
          <w:sz w:val="24"/>
        </w:rPr>
        <w:t>(Agata Srokowska)</w:t>
      </w:r>
      <w:r w:rsidRPr="000F4C97">
        <w:rPr>
          <w:caps/>
          <w:sz w:val="24"/>
        </w:rPr>
        <w:t xml:space="preserve"> </w:t>
      </w:r>
    </w:p>
    <w:p w:rsidR="001C67D8" w:rsidRPr="000F4C97" w:rsidRDefault="00317AB9" w:rsidP="0034276B">
      <w:pPr>
        <w:spacing w:line="240" w:lineRule="auto"/>
        <w:ind w:left="1410" w:hanging="1410"/>
        <w:jc w:val="both"/>
        <w:rPr>
          <w:rFonts w:cs="Times New Roman"/>
          <w:sz w:val="24"/>
          <w:szCs w:val="24"/>
        </w:rPr>
      </w:pPr>
      <w:r w:rsidRPr="000F4C97">
        <w:rPr>
          <w:b/>
          <w:sz w:val="24"/>
        </w:rPr>
        <w:t>09:00</w:t>
      </w:r>
      <w:r w:rsidRPr="000F4C97">
        <w:tab/>
      </w:r>
      <w:r w:rsidRPr="000F4C97">
        <w:rPr>
          <w:sz w:val="24"/>
        </w:rPr>
        <w:t>Najważniejsze aspekty rozporząd</w:t>
      </w:r>
      <w:r w:rsidR="00D34761">
        <w:rPr>
          <w:sz w:val="24"/>
        </w:rPr>
        <w:t>zenia spadkowego – wprowadzenie</w:t>
      </w:r>
    </w:p>
    <w:p w:rsidR="006B0CDC" w:rsidRPr="000F4C97" w:rsidRDefault="00312D49" w:rsidP="0034276B">
      <w:pPr>
        <w:spacing w:line="240" w:lineRule="auto"/>
        <w:jc w:val="both"/>
        <w:rPr>
          <w:rFonts w:cs="Times New Roman"/>
          <w:sz w:val="24"/>
          <w:szCs w:val="24"/>
        </w:rPr>
      </w:pPr>
      <w:r w:rsidRPr="000F4C97">
        <w:rPr>
          <w:b/>
          <w:sz w:val="24"/>
        </w:rPr>
        <w:t>09:45</w:t>
      </w:r>
      <w:r w:rsidRPr="000F4C97">
        <w:tab/>
      </w:r>
      <w:r w:rsidRPr="000F4C97">
        <w:tab/>
      </w:r>
      <w:r w:rsidRPr="000F4C97">
        <w:rPr>
          <w:sz w:val="24"/>
        </w:rPr>
        <w:t>WARSZTATY I, praca nad studium przypadku w mniejszych grupach</w:t>
      </w:r>
    </w:p>
    <w:p w:rsidR="006B0CDC" w:rsidRPr="000F4C97" w:rsidRDefault="006B0CDC" w:rsidP="0034276B">
      <w:pPr>
        <w:spacing w:line="240" w:lineRule="auto"/>
        <w:rPr>
          <w:sz w:val="24"/>
          <w:szCs w:val="24"/>
        </w:rPr>
      </w:pPr>
      <w:r w:rsidRPr="000F4C97">
        <w:rPr>
          <w:b/>
          <w:sz w:val="24"/>
        </w:rPr>
        <w:t>11:15</w:t>
      </w:r>
      <w:r w:rsidRPr="000F4C97">
        <w:tab/>
      </w:r>
      <w:r w:rsidRPr="000F4C97">
        <w:tab/>
      </w:r>
      <w:r w:rsidRPr="000F4C97">
        <w:rPr>
          <w:sz w:val="24"/>
        </w:rPr>
        <w:t>Przerwa kawowa</w:t>
      </w:r>
    </w:p>
    <w:p w:rsidR="006B0CDC" w:rsidRPr="000F4C97" w:rsidRDefault="006B0CDC" w:rsidP="0034276B">
      <w:pPr>
        <w:spacing w:line="240" w:lineRule="auto"/>
        <w:rPr>
          <w:sz w:val="24"/>
          <w:szCs w:val="24"/>
        </w:rPr>
      </w:pPr>
      <w:r w:rsidRPr="000F4C97">
        <w:rPr>
          <w:b/>
          <w:sz w:val="24"/>
        </w:rPr>
        <w:t>11:30</w:t>
      </w:r>
      <w:r w:rsidRPr="000F4C97">
        <w:tab/>
      </w:r>
      <w:r w:rsidRPr="000F4C97">
        <w:tab/>
      </w:r>
      <w:r w:rsidRPr="000F4C97">
        <w:rPr>
          <w:sz w:val="24"/>
        </w:rPr>
        <w:t>Podsumowanie wyników warsztatów: dyskusja plenarna</w:t>
      </w:r>
    </w:p>
    <w:p w:rsidR="006B0CDC" w:rsidRPr="000F4C97" w:rsidRDefault="006B0CDC" w:rsidP="0034276B">
      <w:pPr>
        <w:spacing w:line="240" w:lineRule="auto"/>
        <w:rPr>
          <w:b/>
          <w:sz w:val="24"/>
          <w:szCs w:val="24"/>
        </w:rPr>
      </w:pPr>
      <w:r w:rsidRPr="000F4C97">
        <w:rPr>
          <w:b/>
          <w:sz w:val="24"/>
        </w:rPr>
        <w:t>12:30</w:t>
      </w:r>
      <w:r w:rsidRPr="000F4C97">
        <w:tab/>
      </w:r>
      <w:r w:rsidRPr="000F4C97">
        <w:tab/>
      </w:r>
      <w:r w:rsidRPr="000F4C97">
        <w:rPr>
          <w:sz w:val="24"/>
        </w:rPr>
        <w:t>Obiad</w:t>
      </w:r>
    </w:p>
    <w:p w:rsidR="00BD033D" w:rsidRPr="000F4C97" w:rsidRDefault="00BD033D" w:rsidP="00BD033D">
      <w:pPr>
        <w:pStyle w:val="Akapitzlist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0F4C97">
        <w:rPr>
          <w:b/>
          <w:caps/>
          <w:sz w:val="24"/>
        </w:rPr>
        <w:t xml:space="preserve">Transgraniczne sprawy rozwodowe i alimentacyjne </w:t>
      </w:r>
      <w:r w:rsidRPr="000F4C97">
        <w:rPr>
          <w:i/>
          <w:caps/>
          <w:sz w:val="24"/>
        </w:rPr>
        <w:t>(Agata Srokowska)</w:t>
      </w:r>
    </w:p>
    <w:p w:rsidR="00A92C0A" w:rsidRDefault="006B0CDC" w:rsidP="00EE72EB">
      <w:pPr>
        <w:pStyle w:val="Default"/>
        <w:jc w:val="both"/>
        <w:rPr>
          <w:rFonts w:asciiTheme="minorHAnsi" w:eastAsiaTheme="minorHAnsi" w:hAnsiTheme="minorHAnsi"/>
        </w:rPr>
      </w:pPr>
      <w:r w:rsidRPr="000F4C97">
        <w:rPr>
          <w:rFonts w:asciiTheme="minorHAnsi" w:hAnsiTheme="minorHAnsi"/>
          <w:b/>
        </w:rPr>
        <w:t>13:30</w:t>
      </w:r>
      <w:r w:rsidRPr="000F4C97">
        <w:tab/>
      </w:r>
      <w:r w:rsidRPr="000F4C97">
        <w:tab/>
      </w:r>
      <w:r w:rsidRPr="000F4C97">
        <w:rPr>
          <w:rFonts w:asciiTheme="minorHAnsi" w:eastAsiaTheme="minorHAnsi" w:hAnsiTheme="minorHAnsi"/>
        </w:rPr>
        <w:t>Wprowadzenie do kluczowych przepis</w:t>
      </w:r>
      <w:r w:rsidR="000F4C97">
        <w:rPr>
          <w:rFonts w:asciiTheme="minorHAnsi" w:eastAsiaTheme="minorHAnsi" w:hAnsiTheme="minorHAnsi"/>
        </w:rPr>
        <w:t xml:space="preserve">ów rozporządzenia Bruksela </w:t>
      </w:r>
      <w:proofErr w:type="spellStart"/>
      <w:r w:rsidR="000F4C97">
        <w:rPr>
          <w:rFonts w:asciiTheme="minorHAnsi" w:eastAsiaTheme="minorHAnsi" w:hAnsiTheme="minorHAnsi"/>
        </w:rPr>
        <w:t>IIa</w:t>
      </w:r>
      <w:proofErr w:type="spellEnd"/>
      <w:r w:rsidR="000F4C97">
        <w:rPr>
          <w:rFonts w:asciiTheme="minorHAnsi" w:eastAsiaTheme="minorHAnsi" w:hAnsiTheme="minorHAnsi"/>
        </w:rPr>
        <w:t>,</w:t>
      </w:r>
    </w:p>
    <w:p w:rsidR="00A92C0A" w:rsidRDefault="006B0CDC" w:rsidP="00A92C0A">
      <w:pPr>
        <w:pStyle w:val="Default"/>
        <w:ind w:left="708" w:firstLine="708"/>
        <w:jc w:val="both"/>
        <w:rPr>
          <w:rFonts w:asciiTheme="minorHAnsi" w:eastAsiaTheme="minorHAnsi" w:hAnsiTheme="minorHAnsi"/>
        </w:rPr>
      </w:pPr>
      <w:r w:rsidRPr="000F4C97">
        <w:rPr>
          <w:rFonts w:asciiTheme="minorHAnsi" w:eastAsiaTheme="minorHAnsi" w:hAnsiTheme="minorHAnsi"/>
        </w:rPr>
        <w:t>rozporządzenia Rzym III, rozporządzenia alimentacyjnego,</w:t>
      </w:r>
    </w:p>
    <w:p w:rsidR="006B0CDC" w:rsidRPr="000F4C97" w:rsidRDefault="006B0CDC" w:rsidP="00A92C0A">
      <w:pPr>
        <w:pStyle w:val="Default"/>
        <w:ind w:left="708" w:firstLine="708"/>
        <w:jc w:val="both"/>
        <w:rPr>
          <w:rFonts w:asciiTheme="minorHAnsi" w:eastAsiaTheme="minorHAnsi" w:hAnsiTheme="minorHAnsi" w:cs="Times New Roman"/>
          <w:iCs/>
        </w:rPr>
      </w:pPr>
      <w:r w:rsidRPr="000F4C97">
        <w:rPr>
          <w:rFonts w:asciiTheme="minorHAnsi" w:eastAsiaTheme="minorHAnsi" w:hAnsiTheme="minorHAnsi"/>
        </w:rPr>
        <w:t>konwencji haskiej i</w:t>
      </w:r>
      <w:r w:rsidR="000F4C97">
        <w:rPr>
          <w:rFonts w:asciiTheme="minorHAnsi" w:eastAsiaTheme="minorHAnsi" w:hAnsiTheme="minorHAnsi"/>
        </w:rPr>
        <w:t xml:space="preserve"> </w:t>
      </w:r>
      <w:r w:rsidRPr="000F4C97">
        <w:rPr>
          <w:rFonts w:asciiTheme="minorHAnsi" w:eastAsiaTheme="minorHAnsi" w:hAnsiTheme="minorHAnsi"/>
        </w:rPr>
        <w:t>protokołu haskiego z 2007 roku</w:t>
      </w:r>
    </w:p>
    <w:p w:rsidR="00BD033D" w:rsidRPr="000F4C97" w:rsidRDefault="00BD033D" w:rsidP="00BD033D">
      <w:pPr>
        <w:pStyle w:val="Default"/>
        <w:ind w:left="708" w:firstLine="708"/>
        <w:jc w:val="both"/>
        <w:rPr>
          <w:rFonts w:asciiTheme="minorHAnsi" w:hAnsiTheme="minorHAnsi" w:cs="Times New Roman"/>
        </w:rPr>
      </w:pPr>
    </w:p>
    <w:p w:rsidR="006B0CDC" w:rsidRPr="000F4C97" w:rsidRDefault="006B0CDC" w:rsidP="0034276B">
      <w:pPr>
        <w:spacing w:line="240" w:lineRule="auto"/>
        <w:rPr>
          <w:rFonts w:cs="Times New Roman"/>
          <w:sz w:val="24"/>
          <w:szCs w:val="24"/>
        </w:rPr>
      </w:pPr>
      <w:r w:rsidRPr="000F4C97">
        <w:rPr>
          <w:b/>
          <w:sz w:val="24"/>
        </w:rPr>
        <w:t>14:15</w:t>
      </w:r>
      <w:r w:rsidRPr="000F4C97">
        <w:tab/>
      </w:r>
      <w:r w:rsidRPr="000F4C97">
        <w:tab/>
      </w:r>
      <w:r w:rsidRPr="000F4C97">
        <w:rPr>
          <w:sz w:val="24"/>
        </w:rPr>
        <w:t>WARSZTATY II, praca nad studium przypadku w mniejszych grupach</w:t>
      </w:r>
    </w:p>
    <w:p w:rsidR="006B0CDC" w:rsidRPr="000F4C97" w:rsidRDefault="006B0CDC" w:rsidP="0034276B">
      <w:pPr>
        <w:spacing w:line="240" w:lineRule="auto"/>
        <w:jc w:val="both"/>
        <w:rPr>
          <w:sz w:val="24"/>
          <w:szCs w:val="24"/>
        </w:rPr>
      </w:pPr>
      <w:r w:rsidRPr="000F4C97">
        <w:rPr>
          <w:b/>
          <w:sz w:val="24"/>
        </w:rPr>
        <w:t>15:45</w:t>
      </w:r>
      <w:r w:rsidRPr="000F4C97">
        <w:tab/>
      </w:r>
      <w:r w:rsidRPr="000F4C97">
        <w:tab/>
      </w:r>
      <w:r w:rsidRPr="000F4C97">
        <w:rPr>
          <w:sz w:val="24"/>
        </w:rPr>
        <w:t>Przerwa kawowa</w:t>
      </w:r>
    </w:p>
    <w:p w:rsidR="006B0CDC" w:rsidRPr="000F4C97" w:rsidRDefault="006B0CDC" w:rsidP="0034276B">
      <w:pPr>
        <w:spacing w:line="240" w:lineRule="auto"/>
        <w:rPr>
          <w:sz w:val="24"/>
          <w:szCs w:val="24"/>
        </w:rPr>
      </w:pPr>
      <w:r w:rsidRPr="000F4C97">
        <w:rPr>
          <w:b/>
          <w:sz w:val="24"/>
        </w:rPr>
        <w:t>16:00</w:t>
      </w:r>
      <w:r w:rsidRPr="000F4C97">
        <w:tab/>
      </w:r>
      <w:r w:rsidRPr="000F4C97">
        <w:tab/>
      </w:r>
      <w:r w:rsidRPr="000F4C97">
        <w:rPr>
          <w:sz w:val="24"/>
        </w:rPr>
        <w:t>Podsumowanie wyników warsztatów: dyskusja plenarna</w:t>
      </w:r>
    </w:p>
    <w:p w:rsidR="006B0CDC" w:rsidRPr="000F4C97" w:rsidRDefault="006B0CDC" w:rsidP="0034276B">
      <w:pPr>
        <w:spacing w:line="240" w:lineRule="auto"/>
        <w:rPr>
          <w:sz w:val="24"/>
          <w:szCs w:val="24"/>
        </w:rPr>
      </w:pPr>
      <w:r w:rsidRPr="000F4C97">
        <w:rPr>
          <w:b/>
          <w:sz w:val="24"/>
        </w:rPr>
        <w:t>17:00</w:t>
      </w:r>
      <w:r w:rsidRPr="000F4C97">
        <w:tab/>
      </w:r>
      <w:r w:rsidRPr="000F4C97">
        <w:tab/>
      </w:r>
      <w:r w:rsidRPr="000F4C97">
        <w:rPr>
          <w:sz w:val="24"/>
        </w:rPr>
        <w:t>Zakończenie pierwszego dnia szkolenia</w:t>
      </w:r>
    </w:p>
    <w:p w:rsidR="004D0523" w:rsidRPr="000F4C97" w:rsidRDefault="006B0CDC" w:rsidP="0034276B">
      <w:pPr>
        <w:spacing w:line="240" w:lineRule="auto"/>
        <w:rPr>
          <w:sz w:val="24"/>
          <w:szCs w:val="24"/>
        </w:rPr>
      </w:pPr>
      <w:r w:rsidRPr="000F4C97">
        <w:rPr>
          <w:b/>
          <w:sz w:val="24"/>
        </w:rPr>
        <w:t>18:00-20:00</w:t>
      </w:r>
      <w:r w:rsidRPr="000F4C97">
        <w:tab/>
      </w:r>
      <w:r w:rsidRPr="000F4C97">
        <w:rPr>
          <w:sz w:val="24"/>
        </w:rPr>
        <w:t>Kolacja w hotelu Victoria</w:t>
      </w:r>
    </w:p>
    <w:p w:rsidR="004D0523" w:rsidRPr="000F4C97" w:rsidRDefault="0069771E" w:rsidP="0034276B">
      <w:pPr>
        <w:shd w:val="clear" w:color="auto" w:fill="DDD9C3" w:themeFill="background2" w:themeFillShade="E6"/>
        <w:spacing w:line="240" w:lineRule="auto"/>
        <w:rPr>
          <w:b/>
          <w:sz w:val="28"/>
          <w:szCs w:val="28"/>
        </w:rPr>
      </w:pPr>
      <w:r w:rsidRPr="000F4C97">
        <w:rPr>
          <w:b/>
          <w:sz w:val="28"/>
        </w:rPr>
        <w:t>29 września 2017 r., piątek</w:t>
      </w:r>
    </w:p>
    <w:p w:rsidR="00386C9C" w:rsidRPr="000F4C97" w:rsidRDefault="00386C9C" w:rsidP="00386C9C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0F4C97">
        <w:rPr>
          <w:b/>
          <w:caps/>
          <w:sz w:val="24"/>
        </w:rPr>
        <w:t>odpowiedzialność rodzicielska w ujęciu transgranicznym z uwzględnieniem uprowadzeń małoletnich</w:t>
      </w:r>
      <w:r w:rsidR="00412B45">
        <w:rPr>
          <w:b/>
          <w:caps/>
          <w:sz w:val="24"/>
        </w:rPr>
        <w:t xml:space="preserve"> </w:t>
      </w:r>
      <w:r w:rsidR="00412B45" w:rsidRPr="00412B45">
        <w:rPr>
          <w:i/>
          <w:caps/>
          <w:sz w:val="24"/>
        </w:rPr>
        <w:t>(Agnieszka wiśniewska-Kaluta)</w:t>
      </w:r>
    </w:p>
    <w:p w:rsidR="00FA21D4" w:rsidRPr="000F4C97" w:rsidRDefault="004D0523" w:rsidP="00265AD0">
      <w:pPr>
        <w:spacing w:line="240" w:lineRule="auto"/>
        <w:ind w:left="1410" w:hanging="1410"/>
        <w:jc w:val="both"/>
        <w:rPr>
          <w:sz w:val="24"/>
          <w:szCs w:val="24"/>
        </w:rPr>
      </w:pPr>
      <w:r w:rsidRPr="000F4C97">
        <w:rPr>
          <w:b/>
          <w:sz w:val="24"/>
        </w:rPr>
        <w:t>09:00</w:t>
      </w:r>
      <w:r w:rsidRPr="000F4C97">
        <w:tab/>
      </w:r>
      <w:r w:rsidRPr="000F4C97">
        <w:tab/>
      </w:r>
      <w:r w:rsidRPr="000F4C97">
        <w:rPr>
          <w:sz w:val="24"/>
        </w:rPr>
        <w:t xml:space="preserve">Sesja przypominająca: istotne zapisy rozporządzenia Bruksela </w:t>
      </w:r>
      <w:proofErr w:type="spellStart"/>
      <w:r w:rsidRPr="000F4C97">
        <w:rPr>
          <w:sz w:val="24"/>
        </w:rPr>
        <w:t>IIa</w:t>
      </w:r>
      <w:proofErr w:type="spellEnd"/>
      <w:r w:rsidRPr="000F4C97">
        <w:rPr>
          <w:sz w:val="24"/>
        </w:rPr>
        <w:t xml:space="preserve"> oraz konwencji haskich z 1980 i 1996 roku</w:t>
      </w:r>
    </w:p>
    <w:p w:rsidR="004D0523" w:rsidRPr="000F4C97" w:rsidRDefault="00E736B6" w:rsidP="0034276B">
      <w:pPr>
        <w:spacing w:line="240" w:lineRule="auto"/>
        <w:rPr>
          <w:sz w:val="24"/>
          <w:szCs w:val="24"/>
        </w:rPr>
      </w:pPr>
      <w:r w:rsidRPr="000F4C97">
        <w:rPr>
          <w:b/>
          <w:sz w:val="24"/>
        </w:rPr>
        <w:t>09:45</w:t>
      </w:r>
      <w:r w:rsidRPr="000F4C97">
        <w:tab/>
      </w:r>
      <w:r w:rsidRPr="000F4C97">
        <w:tab/>
      </w:r>
      <w:r w:rsidRPr="000F4C97">
        <w:rPr>
          <w:sz w:val="24"/>
        </w:rPr>
        <w:t>WARSZTATY II, praca nad studium przypadku w mniejszych grupach</w:t>
      </w:r>
    </w:p>
    <w:p w:rsidR="004D0523" w:rsidRPr="000F4C97" w:rsidRDefault="004D0523" w:rsidP="0034276B">
      <w:pPr>
        <w:spacing w:line="240" w:lineRule="auto"/>
        <w:rPr>
          <w:sz w:val="24"/>
          <w:szCs w:val="24"/>
        </w:rPr>
      </w:pPr>
      <w:r w:rsidRPr="000F4C97">
        <w:rPr>
          <w:b/>
          <w:sz w:val="24"/>
        </w:rPr>
        <w:t>11:15</w:t>
      </w:r>
      <w:r w:rsidRPr="000F4C97">
        <w:tab/>
      </w:r>
      <w:r w:rsidRPr="000F4C97">
        <w:tab/>
      </w:r>
      <w:r w:rsidRPr="000F4C97">
        <w:rPr>
          <w:sz w:val="24"/>
        </w:rPr>
        <w:t>Przerwa kawowa</w:t>
      </w:r>
    </w:p>
    <w:p w:rsidR="004D0523" w:rsidRPr="000F4C97" w:rsidRDefault="00E736B6" w:rsidP="0034276B">
      <w:pPr>
        <w:spacing w:line="240" w:lineRule="auto"/>
        <w:rPr>
          <w:sz w:val="24"/>
          <w:szCs w:val="24"/>
        </w:rPr>
      </w:pPr>
      <w:r w:rsidRPr="000F4C97">
        <w:rPr>
          <w:b/>
          <w:sz w:val="24"/>
        </w:rPr>
        <w:t>11:30</w:t>
      </w:r>
      <w:r w:rsidRPr="000F4C97">
        <w:tab/>
      </w:r>
      <w:r w:rsidRPr="000F4C97">
        <w:tab/>
      </w:r>
      <w:r w:rsidRPr="000F4C97">
        <w:rPr>
          <w:sz w:val="24"/>
        </w:rPr>
        <w:t>Podsumowanie wyników warsztatów: dyskusja plenarna</w:t>
      </w:r>
    </w:p>
    <w:p w:rsidR="0034276B" w:rsidRPr="000F4C97" w:rsidRDefault="004D0523" w:rsidP="0034276B">
      <w:pPr>
        <w:spacing w:line="240" w:lineRule="auto"/>
        <w:rPr>
          <w:sz w:val="24"/>
          <w:szCs w:val="24"/>
        </w:rPr>
      </w:pPr>
      <w:r w:rsidRPr="000F4C97">
        <w:rPr>
          <w:b/>
          <w:sz w:val="24"/>
        </w:rPr>
        <w:t>12:30</w:t>
      </w:r>
      <w:r w:rsidRPr="000F4C97">
        <w:tab/>
      </w:r>
      <w:r w:rsidRPr="000F4C97">
        <w:tab/>
      </w:r>
      <w:r w:rsidRPr="000F4C97">
        <w:rPr>
          <w:sz w:val="24"/>
        </w:rPr>
        <w:t>Zakończenie szkolenia, obiad</w:t>
      </w:r>
    </w:p>
    <w:p w:rsidR="009B4D69" w:rsidRDefault="009B4D69" w:rsidP="00DC01ED">
      <w:pPr>
        <w:spacing w:line="240" w:lineRule="auto"/>
        <w:jc w:val="both"/>
        <w:rPr>
          <w:rFonts w:eastAsia="Calibri" w:cs="Times New Roman"/>
          <w:i/>
          <w:szCs w:val="24"/>
        </w:rPr>
      </w:pPr>
    </w:p>
    <w:p w:rsidR="00DC01ED" w:rsidRPr="009B4D69" w:rsidRDefault="00DC01ED" w:rsidP="009B4D69">
      <w:pPr>
        <w:spacing w:line="240" w:lineRule="auto"/>
        <w:ind w:left="709"/>
        <w:jc w:val="both"/>
        <w:rPr>
          <w:rFonts w:eastAsia="Calibri" w:cs="Times New Roman"/>
          <w:i/>
          <w:szCs w:val="24"/>
        </w:rPr>
      </w:pPr>
      <w:r w:rsidRPr="009B4D69">
        <w:rPr>
          <w:rFonts w:eastAsia="Calibri" w:cs="Times New Roman"/>
          <w:i/>
          <w:szCs w:val="24"/>
        </w:rPr>
        <w:t xml:space="preserve">Warunkiem </w:t>
      </w:r>
      <w:r w:rsidRPr="009B4D69">
        <w:rPr>
          <w:i/>
          <w:szCs w:val="24"/>
        </w:rPr>
        <w:t xml:space="preserve">uzyskania (na platformie szkoleniowej </w:t>
      </w:r>
      <w:proofErr w:type="spellStart"/>
      <w:r w:rsidRPr="009B4D69">
        <w:rPr>
          <w:i/>
          <w:szCs w:val="24"/>
        </w:rPr>
        <w:t>KSSiP</w:t>
      </w:r>
      <w:proofErr w:type="spellEnd"/>
      <w:r w:rsidRPr="009B4D69">
        <w:rPr>
          <w:i/>
          <w:szCs w:val="24"/>
        </w:rPr>
        <w:t>)</w:t>
      </w:r>
      <w:r w:rsidRPr="009B4D69">
        <w:rPr>
          <w:rFonts w:eastAsia="Calibri" w:cs="Times New Roman"/>
          <w:i/>
          <w:szCs w:val="24"/>
        </w:rPr>
        <w:t xml:space="preserve"> zaświadczenia</w:t>
      </w:r>
      <w:r w:rsidRPr="009B4D69">
        <w:rPr>
          <w:i/>
          <w:szCs w:val="24"/>
        </w:rPr>
        <w:t xml:space="preserve"> </w:t>
      </w:r>
      <w:r w:rsidRPr="009B4D69">
        <w:rPr>
          <w:rFonts w:eastAsia="Calibri" w:cs="Times New Roman"/>
          <w:i/>
          <w:szCs w:val="24"/>
        </w:rPr>
        <w:t>o uczestnictwie w szkoleniu jest faktyczna obecność na wszystkich zajęciach, potwierdzona podpisem na liście obecności.</w:t>
      </w:r>
    </w:p>
    <w:p w:rsidR="00DC01ED" w:rsidRDefault="009B4D69" w:rsidP="00DC01ED">
      <w:pPr>
        <w:spacing w:line="240" w:lineRule="auto"/>
        <w:jc w:val="both"/>
      </w:pPr>
      <w:r w:rsidRPr="000F4C97">
        <w:rPr>
          <w:noProof/>
          <w:highlight w:val="yellow"/>
          <w:lang w:eastAsia="pl-PL"/>
        </w:rPr>
        <w:drawing>
          <wp:anchor distT="0" distB="0" distL="114300" distR="114300" simplePos="0" relativeHeight="251673088" behindDoc="0" locked="0" layoutInCell="1" allowOverlap="1" wp14:anchorId="5A39C0BE" wp14:editId="74A429DD">
            <wp:simplePos x="0" y="0"/>
            <wp:positionH relativeFrom="column">
              <wp:posOffset>-367030</wp:posOffset>
            </wp:positionH>
            <wp:positionV relativeFrom="paragraph">
              <wp:posOffset>328498</wp:posOffset>
            </wp:positionV>
            <wp:extent cx="687070" cy="46355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D13" w:rsidRPr="000F4C97" w:rsidRDefault="003E6D13" w:rsidP="00DC01ED">
      <w:pPr>
        <w:spacing w:line="240" w:lineRule="auto"/>
        <w:jc w:val="both"/>
      </w:pPr>
      <w:r w:rsidRPr="000F4C97">
        <w:t>Publikacja współfinansowana ze środków Unii Europejskiej w ramach programu „Wymiar sprawiedliwości w sprawach cywilnych” na lata 2014-2020. Treść publikacji zawiera wyłącznie poglądy ERA i w żaden sposób nie odzwierciedla poglądów Komisji Europejskiej.</w:t>
      </w:r>
    </w:p>
    <w:sectPr w:rsidR="003E6D13" w:rsidRPr="000F4C97" w:rsidSect="009B4D69">
      <w:headerReference w:type="default" r:id="rId12"/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B6" w:rsidRDefault="008136B6" w:rsidP="00FE5A51">
      <w:pPr>
        <w:spacing w:after="0" w:line="240" w:lineRule="auto"/>
      </w:pPr>
      <w:r>
        <w:separator/>
      </w:r>
    </w:p>
  </w:endnote>
  <w:endnote w:type="continuationSeparator" w:id="0">
    <w:p w:rsidR="008136B6" w:rsidRDefault="008136B6" w:rsidP="00FE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T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B6" w:rsidRDefault="008136B6" w:rsidP="00FE5A51">
      <w:pPr>
        <w:spacing w:after="0" w:line="240" w:lineRule="auto"/>
      </w:pPr>
      <w:r>
        <w:separator/>
      </w:r>
    </w:p>
  </w:footnote>
  <w:footnote w:type="continuationSeparator" w:id="0">
    <w:p w:rsidR="008136B6" w:rsidRDefault="008136B6" w:rsidP="00FE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888676"/>
      <w:docPartObj>
        <w:docPartGallery w:val="Page Numbers (Top of Page)"/>
        <w:docPartUnique/>
      </w:docPartObj>
    </w:sdtPr>
    <w:sdtEndPr/>
    <w:sdtContent>
      <w:p w:rsidR="00740A35" w:rsidRDefault="00DC01ED">
        <w:pPr>
          <w:pStyle w:val="Nagwek"/>
          <w:ind w:right="-864"/>
          <w:jc w:val="right"/>
        </w:pPr>
        <w:r>
          <w:rPr>
            <w:noProof/>
            <w:lang w:eastAsia="pl-PL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3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4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0A35" w:rsidRDefault="00DD52C6">
                                <w:r>
                                  <w:fldChar w:fldCharType="begin"/>
                                </w:r>
                                <w:r w:rsidR="00F53CE3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F35E5F" w:rsidRPr="00F35E5F"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QtsMA&#10;AADaAAAADwAAAGRycy9kb3ducmV2LnhtbESPQWsCMRSE7wX/Q3iF3mq21UpZjbIIFvEgdPXQ42Pz&#10;3AQ3L8smddf++kYQPA4z8w2zWA2uERfqgvWs4G2cgSCuvLZcKzgeNq+fIEJE1th4JgVXCrBajp4W&#10;mGvf8zddyliLBOGQowITY5tLGSpDDsPYt8TJO/nOYUyyq6XusE9w18j3LJtJh5bTgsGW1oaqc/nr&#10;FJzt3mSu35STj2JS2J9+F/6+Zkq9PA/FHESkIT7C9/ZWK5jC7Uq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tQts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MNsIA&#10;AADaAAAADwAAAGRycy9kb3ducmV2LnhtbESPQWsCMRSE74X+h/AK3mq2BWvZGqUtCl56UOv9sXnd&#10;bN28LMlzXfvrG0HwOMzMN8xsMfhW9RRTE9jA07gARVwF23Bt4Hu3enwFlQTZYhuYDJwpwWJ+fzfD&#10;0oYTb6jfSq0yhFOJBpxIV2qdKkce0zh0xNn7CdGjZBlrbSOeMty3+rkoXrTHhvOCw44+HVWH7dEb&#10;mB7/pO43vx+TYnkO8SD7r8rtjRk9DO9voIQGuYWv7bU1MIHLlXwD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Now2wgAAANoAAAAPAAAAAAAAAAAAAAAAAJgCAABkcnMvZG93&#10;bnJldi54bWxQSwUGAAAAAAQABAD1AAAAhwMAAAAA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740A35" w:rsidRDefault="00DD52C6">
                          <w:r>
                            <w:fldChar w:fldCharType="begin"/>
                          </w:r>
                          <w:r w:rsidR="00F53CE3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35E5F" w:rsidRPr="00F35E5F">
                            <w:rPr>
                              <w:b/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45A92"/>
    <w:multiLevelType w:val="hybridMultilevel"/>
    <w:tmpl w:val="DB8062F4"/>
    <w:lvl w:ilvl="0" w:tplc="D3E81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9482F"/>
    <w:multiLevelType w:val="hybridMultilevel"/>
    <w:tmpl w:val="92D0B610"/>
    <w:lvl w:ilvl="0" w:tplc="3AB6CC8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B9"/>
    <w:rsid w:val="00031E72"/>
    <w:rsid w:val="000471CF"/>
    <w:rsid w:val="000739EC"/>
    <w:rsid w:val="000F4C97"/>
    <w:rsid w:val="0013617D"/>
    <w:rsid w:val="001712D6"/>
    <w:rsid w:val="001B033B"/>
    <w:rsid w:val="001B500B"/>
    <w:rsid w:val="001C67D8"/>
    <w:rsid w:val="00203434"/>
    <w:rsid w:val="002444A8"/>
    <w:rsid w:val="00265AD0"/>
    <w:rsid w:val="002D37CF"/>
    <w:rsid w:val="002D3F8C"/>
    <w:rsid w:val="00312D49"/>
    <w:rsid w:val="00317AB9"/>
    <w:rsid w:val="003304E7"/>
    <w:rsid w:val="0034276B"/>
    <w:rsid w:val="00386C9C"/>
    <w:rsid w:val="00392BFD"/>
    <w:rsid w:val="003E1AE4"/>
    <w:rsid w:val="003E6D13"/>
    <w:rsid w:val="003E7F1D"/>
    <w:rsid w:val="00412B45"/>
    <w:rsid w:val="00437FEB"/>
    <w:rsid w:val="00451717"/>
    <w:rsid w:val="00474ED7"/>
    <w:rsid w:val="004B235B"/>
    <w:rsid w:val="004D0523"/>
    <w:rsid w:val="004F04F9"/>
    <w:rsid w:val="00533AFE"/>
    <w:rsid w:val="00601EB5"/>
    <w:rsid w:val="00617EC5"/>
    <w:rsid w:val="00645AE2"/>
    <w:rsid w:val="00691452"/>
    <w:rsid w:val="0069771E"/>
    <w:rsid w:val="006B0CDC"/>
    <w:rsid w:val="006E40A8"/>
    <w:rsid w:val="00716A4C"/>
    <w:rsid w:val="00740A35"/>
    <w:rsid w:val="007450B0"/>
    <w:rsid w:val="007633A6"/>
    <w:rsid w:val="007B164B"/>
    <w:rsid w:val="007F46D6"/>
    <w:rsid w:val="007F4A73"/>
    <w:rsid w:val="008136B6"/>
    <w:rsid w:val="00843B6F"/>
    <w:rsid w:val="008D4C0E"/>
    <w:rsid w:val="009014B0"/>
    <w:rsid w:val="009140F8"/>
    <w:rsid w:val="00943F7E"/>
    <w:rsid w:val="009B4D69"/>
    <w:rsid w:val="009D76A5"/>
    <w:rsid w:val="00A40748"/>
    <w:rsid w:val="00A92C0A"/>
    <w:rsid w:val="00AA6D21"/>
    <w:rsid w:val="00AD1102"/>
    <w:rsid w:val="00AD220D"/>
    <w:rsid w:val="00AD4022"/>
    <w:rsid w:val="00B032AE"/>
    <w:rsid w:val="00BB4A01"/>
    <w:rsid w:val="00BD033D"/>
    <w:rsid w:val="00BD37DA"/>
    <w:rsid w:val="00C0273D"/>
    <w:rsid w:val="00C417E4"/>
    <w:rsid w:val="00C4761F"/>
    <w:rsid w:val="00C659E9"/>
    <w:rsid w:val="00D34761"/>
    <w:rsid w:val="00D35257"/>
    <w:rsid w:val="00D8051D"/>
    <w:rsid w:val="00DC01ED"/>
    <w:rsid w:val="00DD52C6"/>
    <w:rsid w:val="00E26D01"/>
    <w:rsid w:val="00E36826"/>
    <w:rsid w:val="00E636B1"/>
    <w:rsid w:val="00E736B6"/>
    <w:rsid w:val="00E7624D"/>
    <w:rsid w:val="00E96BE0"/>
    <w:rsid w:val="00EA218D"/>
    <w:rsid w:val="00EA3D75"/>
    <w:rsid w:val="00EA6410"/>
    <w:rsid w:val="00EE72EB"/>
    <w:rsid w:val="00F35277"/>
    <w:rsid w:val="00F35E5F"/>
    <w:rsid w:val="00F53CE3"/>
    <w:rsid w:val="00FA21D4"/>
    <w:rsid w:val="00FC0E5A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F56D50-6A2A-496C-BDD3-8CD6A68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A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7AB9"/>
    <w:rPr>
      <w:color w:val="0000FF" w:themeColor="hyperlink"/>
      <w:u w:val="single"/>
    </w:rPr>
  </w:style>
  <w:style w:type="paragraph" w:customStyle="1" w:styleId="Default">
    <w:name w:val="Default"/>
    <w:rsid w:val="00317AB9"/>
    <w:pPr>
      <w:autoSpaceDE w:val="0"/>
      <w:autoSpaceDN w:val="0"/>
      <w:adjustRightInd w:val="0"/>
      <w:spacing w:after="0" w:line="240" w:lineRule="auto"/>
    </w:pPr>
    <w:rPr>
      <w:rFonts w:ascii="Frutiger LT 55 Roman" w:eastAsia="Times New Roman" w:hAnsi="Frutiger LT 55 Roman" w:cs="Frutiger LT 55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51"/>
  </w:style>
  <w:style w:type="paragraph" w:styleId="Stopka">
    <w:name w:val="footer"/>
    <w:basedOn w:val="Normalny"/>
    <w:link w:val="StopkaZnak"/>
    <w:uiPriority w:val="99"/>
    <w:unhideWhenUsed/>
    <w:rsid w:val="00FE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A51"/>
  </w:style>
  <w:style w:type="paragraph" w:styleId="Akapitzlist">
    <w:name w:val="List Paragraph"/>
    <w:basedOn w:val="Normalny"/>
    <w:uiPriority w:val="34"/>
    <w:qFormat/>
    <w:rsid w:val="0031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victorialublin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689F-733B-4F0E-A132-5C635A4C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Tłumaczeń VIVALANG | www.vivalang.pl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Tłumaczeń VIVALANG | www.vivalang.pl</dc:creator>
  <cp:lastModifiedBy>Olga Binert</cp:lastModifiedBy>
  <cp:revision>9</cp:revision>
  <cp:lastPrinted>2017-07-06T09:42:00Z</cp:lastPrinted>
  <dcterms:created xsi:type="dcterms:W3CDTF">2017-07-06T09:58:00Z</dcterms:created>
  <dcterms:modified xsi:type="dcterms:W3CDTF">2017-08-10T11:39:00Z</dcterms:modified>
</cp:coreProperties>
</file>