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7D" w:rsidRDefault="00B1707D" w:rsidP="00B1707D">
      <w:pPr>
        <w:rPr>
          <w:lang w:val="en-US"/>
        </w:rPr>
      </w:pPr>
    </w:p>
    <w:p w:rsidR="00BA01AF" w:rsidRDefault="0060432E" w:rsidP="00BA01AF">
      <w:pPr>
        <w:jc w:val="both"/>
        <w:rPr>
          <w:lang w:val="en-US"/>
        </w:rPr>
      </w:pPr>
      <w:r>
        <w:rPr>
          <w:noProof/>
          <w:color w:val="1F497D"/>
          <w:lang w:val="pl-PL" w:eastAsia="pl-PL"/>
        </w:rPr>
        <w:drawing>
          <wp:inline distT="0" distB="0" distL="0" distR="0">
            <wp:extent cx="1078230" cy="612775"/>
            <wp:effectExtent l="19050" t="0" r="7620" b="0"/>
            <wp:docPr id="1" name="Image 1" descr="Logo E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ENM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1AF" w:rsidRPr="00BA01AF">
        <w:rPr>
          <w:color w:val="1F497D"/>
          <w:lang w:val="en-US" w:eastAsia="fr-FR"/>
        </w:rPr>
        <w:t xml:space="preserve">    </w:t>
      </w:r>
      <w:r w:rsidR="00BA01AF" w:rsidRP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>
        <w:rPr>
          <w:color w:val="1F497D"/>
          <w:lang w:val="en-US" w:eastAsia="fr-FR"/>
        </w:rPr>
        <w:tab/>
      </w:r>
      <w:r w:rsidR="00BA01AF" w:rsidRPr="00BA01AF">
        <w:rPr>
          <w:color w:val="1F497D"/>
          <w:lang w:val="en-US" w:eastAsia="fr-FR"/>
        </w:rPr>
        <w:t xml:space="preserve"> </w:t>
      </w:r>
      <w:r>
        <w:rPr>
          <w:noProof/>
          <w:lang w:val="pl-PL" w:eastAsia="pl-PL"/>
        </w:rPr>
        <w:drawing>
          <wp:inline distT="0" distB="0" distL="0" distR="0">
            <wp:extent cx="673100" cy="673100"/>
            <wp:effectExtent l="19050" t="0" r="0" b="0"/>
            <wp:docPr id="2" name="Obraz 2" descr="Description: Description: Logo_new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Logo_new_EN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AF" w:rsidRDefault="00BA01AF" w:rsidP="00B1707D">
      <w:pPr>
        <w:rPr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</w:p>
    <w:p w:rsidR="00BA01AF" w:rsidRP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val="en-US"/>
        </w:rPr>
      </w:pPr>
      <w:r w:rsidRPr="00BA01AF">
        <w:rPr>
          <w:b/>
          <w:sz w:val="20"/>
          <w:szCs w:val="20"/>
          <w:lang w:val="en-US"/>
        </w:rPr>
        <w:t xml:space="preserve">Judicial training activity: </w:t>
      </w:r>
    </w:p>
    <w:p w:rsid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</w:p>
    <w:p w:rsidR="00BA01AF" w:rsidRP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US"/>
        </w:rPr>
      </w:pPr>
      <w:r w:rsidRPr="00BA01AF">
        <w:rPr>
          <w:b/>
          <w:sz w:val="28"/>
          <w:szCs w:val="28"/>
          <w:lang w:val="en-US"/>
        </w:rPr>
        <w:t>JUSTICE AND PRESS IN THE EU</w:t>
      </w:r>
    </w:p>
    <w:p w:rsidR="00BA01AF" w:rsidRP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US"/>
        </w:rPr>
      </w:pPr>
    </w:p>
    <w:p w:rsidR="00BA01AF" w:rsidRP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val="en-US"/>
        </w:rPr>
      </w:pPr>
      <w:r w:rsidRPr="00BA01AF">
        <w:rPr>
          <w:b/>
          <w:sz w:val="20"/>
          <w:szCs w:val="20"/>
          <w:lang w:val="en-US"/>
        </w:rPr>
        <w:t>(Paris, 8-10 December 2014)</w:t>
      </w:r>
    </w:p>
    <w:p w:rsidR="00BA01AF" w:rsidRDefault="00BA01AF" w:rsidP="00BA01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582E7C" w:rsidRPr="00C0426C" w:rsidRDefault="00BA01AF" w:rsidP="00B1707D">
      <w:pPr>
        <w:jc w:val="both"/>
        <w:rPr>
          <w:b/>
          <w:lang w:val="en-US"/>
        </w:rPr>
      </w:pPr>
      <w:r>
        <w:rPr>
          <w:b/>
          <w:lang w:val="en-US"/>
        </w:rPr>
        <w:t>I.</w:t>
      </w:r>
      <w:r>
        <w:rPr>
          <w:b/>
          <w:lang w:val="en-US"/>
        </w:rPr>
        <w:tab/>
      </w:r>
      <w:r w:rsidR="00D37D58" w:rsidRPr="00C0426C">
        <w:rPr>
          <w:b/>
          <w:lang w:val="en-US"/>
        </w:rPr>
        <w:t>Background and project description</w:t>
      </w:r>
      <w:r>
        <w:rPr>
          <w:b/>
          <w:lang w:val="en-US"/>
        </w:rPr>
        <w:t>:</w:t>
      </w:r>
    </w:p>
    <w:p w:rsidR="00582E7C" w:rsidRDefault="00582E7C" w:rsidP="00B1707D">
      <w:pPr>
        <w:jc w:val="both"/>
        <w:rPr>
          <w:lang w:val="en-US"/>
        </w:rPr>
      </w:pPr>
    </w:p>
    <w:p w:rsidR="00B1707D" w:rsidRDefault="00B1707D" w:rsidP="00B1707D">
      <w:pPr>
        <w:jc w:val="both"/>
        <w:rPr>
          <w:lang w:val="en-US"/>
        </w:rPr>
      </w:pPr>
      <w:r w:rsidRPr="00701B40">
        <w:rPr>
          <w:lang w:val="en-US"/>
        </w:rPr>
        <w:t xml:space="preserve">The </w:t>
      </w:r>
      <w:r w:rsidR="00212577" w:rsidRPr="00BA01AF">
        <w:rPr>
          <w:b/>
          <w:lang w:val="en-US"/>
        </w:rPr>
        <w:t>Charter of F</w:t>
      </w:r>
      <w:r w:rsidRPr="00BA01AF">
        <w:rPr>
          <w:b/>
          <w:lang w:val="en-US"/>
        </w:rPr>
        <w:t xml:space="preserve">undamental </w:t>
      </w:r>
      <w:r w:rsidR="00212577" w:rsidRPr="00BA01AF">
        <w:rPr>
          <w:b/>
          <w:lang w:val="en-US"/>
        </w:rPr>
        <w:t>R</w:t>
      </w:r>
      <w:r w:rsidRPr="00BA01AF">
        <w:rPr>
          <w:b/>
          <w:lang w:val="en-US"/>
        </w:rPr>
        <w:t>ights</w:t>
      </w:r>
      <w:r w:rsidR="00212577" w:rsidRPr="00BA01AF">
        <w:rPr>
          <w:b/>
          <w:lang w:val="en-US"/>
        </w:rPr>
        <w:t xml:space="preserve"> of the European Union</w:t>
      </w:r>
      <w:r w:rsidRPr="00701B40">
        <w:rPr>
          <w:lang w:val="en-US"/>
        </w:rPr>
        <w:t xml:space="preserve"> is the first legally binding </w:t>
      </w:r>
      <w:r w:rsidR="00582E7C">
        <w:rPr>
          <w:lang w:val="en-US"/>
        </w:rPr>
        <w:t>instrument</w:t>
      </w:r>
      <w:r w:rsidRPr="00701B40">
        <w:rPr>
          <w:lang w:val="en-US"/>
        </w:rPr>
        <w:t xml:space="preserve"> to explicitly recognize freedom of the press. Its article 11§2 provides</w:t>
      </w:r>
      <w:r w:rsidR="00582E7C">
        <w:rPr>
          <w:lang w:val="en-US"/>
        </w:rPr>
        <w:t xml:space="preserve"> that</w:t>
      </w:r>
      <w:r w:rsidRPr="00701B40">
        <w:rPr>
          <w:lang w:val="en-US"/>
        </w:rPr>
        <w:t xml:space="preserve"> “</w:t>
      </w:r>
      <w:r w:rsidRPr="00C87C8E">
        <w:rPr>
          <w:i/>
          <w:lang w:val="en-US"/>
        </w:rPr>
        <w:t>the freedom and pluralism of the media shall be respected</w:t>
      </w:r>
      <w:r w:rsidRPr="00701B40">
        <w:rPr>
          <w:lang w:val="en-US"/>
        </w:rPr>
        <w:t>”.</w:t>
      </w:r>
    </w:p>
    <w:p w:rsidR="00582E7C" w:rsidRPr="00701B40" w:rsidRDefault="00582E7C" w:rsidP="00B1707D">
      <w:pPr>
        <w:jc w:val="both"/>
        <w:rPr>
          <w:lang w:val="en-US"/>
        </w:rPr>
      </w:pPr>
    </w:p>
    <w:p w:rsidR="00B1707D" w:rsidRDefault="00B1707D" w:rsidP="00B1707D">
      <w:pPr>
        <w:jc w:val="both"/>
        <w:rPr>
          <w:lang w:val="en-US"/>
        </w:rPr>
      </w:pPr>
      <w:r>
        <w:rPr>
          <w:lang w:val="en-US"/>
        </w:rPr>
        <w:t>This</w:t>
      </w:r>
      <w:r w:rsidRPr="00701B40">
        <w:rPr>
          <w:lang w:val="en-US"/>
        </w:rPr>
        <w:t xml:space="preserve"> solemn recognition falls in line with a long tradition of respect and promotion of </w:t>
      </w:r>
      <w:r w:rsidR="00582E7C">
        <w:rPr>
          <w:lang w:val="en-US"/>
        </w:rPr>
        <w:t>press and media f</w:t>
      </w:r>
      <w:r w:rsidRPr="00701B40">
        <w:rPr>
          <w:lang w:val="en-US"/>
        </w:rPr>
        <w:t xml:space="preserve">reedom in Europe. It is widely admitted </w:t>
      </w:r>
      <w:r w:rsidR="00582E7C">
        <w:rPr>
          <w:lang w:val="en-US"/>
        </w:rPr>
        <w:t xml:space="preserve">that </w:t>
      </w:r>
      <w:r w:rsidRPr="00701B40">
        <w:rPr>
          <w:lang w:val="en-US"/>
        </w:rPr>
        <w:t>press and media play a preem</w:t>
      </w:r>
      <w:r>
        <w:rPr>
          <w:lang w:val="en-US"/>
        </w:rPr>
        <w:t>inent role in democratic societies</w:t>
      </w:r>
      <w:r w:rsidRPr="00701B40">
        <w:rPr>
          <w:lang w:val="en-US"/>
        </w:rPr>
        <w:t>, as “watchdog</w:t>
      </w:r>
      <w:r w:rsidR="00582E7C">
        <w:rPr>
          <w:lang w:val="en-US"/>
        </w:rPr>
        <w:t>s</w:t>
      </w:r>
      <w:r w:rsidRPr="00701B40">
        <w:rPr>
          <w:lang w:val="en-US"/>
        </w:rPr>
        <w:t>”</w:t>
      </w:r>
      <w:r>
        <w:rPr>
          <w:lang w:val="en-US"/>
        </w:rPr>
        <w:t xml:space="preserve"> of democracy</w:t>
      </w:r>
      <w:r w:rsidR="0088228D">
        <w:rPr>
          <w:lang w:val="en-US"/>
        </w:rPr>
        <w:t>. F</w:t>
      </w:r>
      <w:r>
        <w:rPr>
          <w:lang w:val="en-US"/>
        </w:rPr>
        <w:t xml:space="preserve">reedom of speech classically </w:t>
      </w:r>
      <w:r w:rsidR="00BA620B">
        <w:rPr>
          <w:lang w:val="en-US"/>
        </w:rPr>
        <w:t>also covers</w:t>
      </w:r>
      <w:r>
        <w:rPr>
          <w:lang w:val="en-US"/>
        </w:rPr>
        <w:t xml:space="preserve"> </w:t>
      </w:r>
      <w:r w:rsidRPr="00701B40">
        <w:rPr>
          <w:lang w:val="en-US"/>
        </w:rPr>
        <w:t xml:space="preserve">the right </w:t>
      </w:r>
      <w:r w:rsidR="00BA620B">
        <w:rPr>
          <w:lang w:val="en-US"/>
        </w:rPr>
        <w:t>of</w:t>
      </w:r>
      <w:r w:rsidRPr="00701B40">
        <w:rPr>
          <w:lang w:val="en-US"/>
        </w:rPr>
        <w:t xml:space="preserve"> citizen</w:t>
      </w:r>
      <w:r w:rsidR="00BA620B">
        <w:rPr>
          <w:lang w:val="en-US"/>
        </w:rPr>
        <w:t>s</w:t>
      </w:r>
      <w:r w:rsidRPr="00701B40">
        <w:rPr>
          <w:lang w:val="en-US"/>
        </w:rPr>
        <w:t xml:space="preserve"> to receive information, as well as that of journalists to comm</w:t>
      </w:r>
      <w:r>
        <w:rPr>
          <w:lang w:val="en-US"/>
        </w:rPr>
        <w:t>unicate information to citizens.</w:t>
      </w:r>
    </w:p>
    <w:p w:rsidR="00B1707D" w:rsidRDefault="00B1707D" w:rsidP="00B1707D">
      <w:pPr>
        <w:jc w:val="both"/>
        <w:rPr>
          <w:lang w:val="en-US"/>
        </w:rPr>
      </w:pPr>
    </w:p>
    <w:p w:rsidR="00B1707D" w:rsidRPr="006C21B6" w:rsidRDefault="00C87C8E" w:rsidP="00B1707D">
      <w:pPr>
        <w:jc w:val="both"/>
        <w:rPr>
          <w:lang w:val="en-US"/>
        </w:rPr>
      </w:pPr>
      <w:r>
        <w:rPr>
          <w:lang w:val="en-US"/>
        </w:rPr>
        <w:t>F</w:t>
      </w:r>
      <w:r w:rsidR="00B1707D">
        <w:rPr>
          <w:lang w:val="en-US"/>
        </w:rPr>
        <w:t>reedom of the press</w:t>
      </w:r>
      <w:r w:rsidR="00BA620B">
        <w:rPr>
          <w:lang w:val="en-US"/>
        </w:rPr>
        <w:t>, on another hand,</w:t>
      </w:r>
      <w:r w:rsidR="00B1707D" w:rsidRPr="00701B40">
        <w:rPr>
          <w:lang w:val="en-US"/>
        </w:rPr>
        <w:t xml:space="preserve"> can</w:t>
      </w:r>
      <w:r w:rsidR="00B1707D">
        <w:rPr>
          <w:lang w:val="en-US"/>
        </w:rPr>
        <w:t xml:space="preserve">not be regarded as an absolute. </w:t>
      </w:r>
      <w:r w:rsidR="00BA620B">
        <w:rPr>
          <w:lang w:val="en-US"/>
        </w:rPr>
        <w:t xml:space="preserve">It </w:t>
      </w:r>
      <w:r w:rsidR="00B1707D" w:rsidRPr="00701B40">
        <w:rPr>
          <w:lang w:val="en-US"/>
        </w:rPr>
        <w:t xml:space="preserve">has to </w:t>
      </w:r>
      <w:r w:rsidR="00E723F7">
        <w:rPr>
          <w:lang w:val="en-US"/>
        </w:rPr>
        <w:t>coexist</w:t>
      </w:r>
      <w:r w:rsidR="00B1707D" w:rsidRPr="00701B40">
        <w:rPr>
          <w:lang w:val="en-US"/>
        </w:rPr>
        <w:t xml:space="preserve"> with other fundamental rights of the same importance</w:t>
      </w:r>
      <w:r w:rsidR="00B1707D">
        <w:rPr>
          <w:lang w:val="en-US"/>
        </w:rPr>
        <w:t xml:space="preserve">, equally granted by the </w:t>
      </w:r>
      <w:r w:rsidR="00E723F7">
        <w:rPr>
          <w:lang w:val="en-US"/>
        </w:rPr>
        <w:t>EU Charter of F</w:t>
      </w:r>
      <w:r w:rsidR="00E723F7" w:rsidRPr="00701B40">
        <w:rPr>
          <w:lang w:val="en-US"/>
        </w:rPr>
        <w:t xml:space="preserve">undamental </w:t>
      </w:r>
      <w:r w:rsidR="00E723F7">
        <w:rPr>
          <w:lang w:val="en-US"/>
        </w:rPr>
        <w:t>R</w:t>
      </w:r>
      <w:r w:rsidR="00E723F7" w:rsidRPr="00701B40">
        <w:rPr>
          <w:lang w:val="en-US"/>
        </w:rPr>
        <w:t>ights</w:t>
      </w:r>
      <w:r w:rsidR="00B1707D">
        <w:rPr>
          <w:lang w:val="en-US"/>
        </w:rPr>
        <w:t xml:space="preserve"> or the </w:t>
      </w:r>
      <w:r w:rsidR="00E723F7">
        <w:rPr>
          <w:lang w:val="en-US"/>
        </w:rPr>
        <w:t>European Convention on Human Rights</w:t>
      </w:r>
      <w:r w:rsidR="00B1707D" w:rsidRPr="00701B40">
        <w:rPr>
          <w:lang w:val="en-US"/>
        </w:rPr>
        <w:t>, such as privacy, respect of the reputatio</w:t>
      </w:r>
      <w:r w:rsidR="00B1707D">
        <w:rPr>
          <w:lang w:val="en-US"/>
        </w:rPr>
        <w:t>n of others,</w:t>
      </w:r>
      <w:r w:rsidR="00B1707D" w:rsidRPr="00701B40">
        <w:rPr>
          <w:lang w:val="en-US"/>
        </w:rPr>
        <w:t xml:space="preserve"> the right to an effective inquiry and </w:t>
      </w:r>
      <w:r w:rsidR="0063057C">
        <w:rPr>
          <w:lang w:val="en-US"/>
        </w:rPr>
        <w:t xml:space="preserve">to </w:t>
      </w:r>
      <w:r w:rsidR="00B1707D" w:rsidRPr="00701B40">
        <w:rPr>
          <w:lang w:val="en-US"/>
        </w:rPr>
        <w:t>a fair trial</w:t>
      </w:r>
      <w:r w:rsidR="00E723F7">
        <w:rPr>
          <w:lang w:val="en-US"/>
        </w:rPr>
        <w:t>,</w:t>
      </w:r>
      <w:r w:rsidR="00550DC5">
        <w:rPr>
          <w:lang w:val="en-US"/>
        </w:rPr>
        <w:t xml:space="preserve"> </w:t>
      </w:r>
      <w:r w:rsidR="00550DC5" w:rsidRPr="006C21B6">
        <w:rPr>
          <w:lang w:val="en-US"/>
        </w:rPr>
        <w:t xml:space="preserve">partly guaranteed by </w:t>
      </w:r>
      <w:r w:rsidR="00BE2FA6" w:rsidRPr="006C21B6">
        <w:rPr>
          <w:lang w:val="en-US"/>
        </w:rPr>
        <w:t>judicial confidentiality.</w:t>
      </w:r>
    </w:p>
    <w:p w:rsidR="00B1707D" w:rsidRPr="006C21B6" w:rsidRDefault="00B1707D" w:rsidP="00B1707D">
      <w:pPr>
        <w:jc w:val="both"/>
        <w:rPr>
          <w:lang w:val="en-US"/>
        </w:rPr>
      </w:pPr>
    </w:p>
    <w:p w:rsidR="00EB7F71" w:rsidRDefault="00B1707D" w:rsidP="00B1707D">
      <w:pPr>
        <w:jc w:val="both"/>
        <w:rPr>
          <w:lang w:val="en-US"/>
        </w:rPr>
      </w:pPr>
      <w:r w:rsidRPr="006C21B6">
        <w:rPr>
          <w:lang w:val="en-US"/>
        </w:rPr>
        <w:t>Judicial stakeholders are in charge of balancing these</w:t>
      </w:r>
      <w:r w:rsidR="00E723F7" w:rsidRPr="006C21B6">
        <w:rPr>
          <w:lang w:val="en-US"/>
        </w:rPr>
        <w:t xml:space="preserve"> sometimes</w:t>
      </w:r>
      <w:r w:rsidRPr="006C21B6">
        <w:rPr>
          <w:lang w:val="en-US"/>
        </w:rPr>
        <w:t xml:space="preserve"> contradictory principl</w:t>
      </w:r>
      <w:r w:rsidR="00612854" w:rsidRPr="006C21B6">
        <w:rPr>
          <w:lang w:val="en-US"/>
        </w:rPr>
        <w:t>es. T</w:t>
      </w:r>
      <w:r w:rsidR="00E723F7" w:rsidRPr="006C21B6">
        <w:rPr>
          <w:lang w:val="en-US"/>
        </w:rPr>
        <w:t>hey have to rule whether a press</w:t>
      </w:r>
      <w:r w:rsidRPr="006C21B6">
        <w:rPr>
          <w:lang w:val="en-US"/>
        </w:rPr>
        <w:t xml:space="preserve"> article libeled a pl</w:t>
      </w:r>
      <w:r w:rsidR="00612854" w:rsidRPr="006C21B6">
        <w:rPr>
          <w:lang w:val="en-US"/>
        </w:rPr>
        <w:t xml:space="preserve">aintiff or </w:t>
      </w:r>
      <w:r w:rsidR="00550DC5" w:rsidRPr="006C21B6">
        <w:rPr>
          <w:lang w:val="en-US"/>
        </w:rPr>
        <w:t xml:space="preserve">released information about </w:t>
      </w:r>
      <w:r w:rsidR="00FF5904" w:rsidRPr="006C21B6">
        <w:rPr>
          <w:lang w:val="en-US"/>
        </w:rPr>
        <w:t>o</w:t>
      </w:r>
      <w:r w:rsidR="00550DC5" w:rsidRPr="006C21B6">
        <w:rPr>
          <w:lang w:val="en-US"/>
        </w:rPr>
        <w:t>ngoing investigation</w:t>
      </w:r>
      <w:r w:rsidR="0063057C" w:rsidRPr="006C21B6">
        <w:rPr>
          <w:lang w:val="en-US"/>
        </w:rPr>
        <w:t>s, and jeopardized</w:t>
      </w:r>
      <w:r w:rsidR="00550DC5" w:rsidRPr="006C21B6">
        <w:rPr>
          <w:lang w:val="en-US"/>
        </w:rPr>
        <w:t xml:space="preserve"> their </w:t>
      </w:r>
      <w:r w:rsidR="00FF5904" w:rsidRPr="006C21B6">
        <w:rPr>
          <w:lang w:val="en-US"/>
        </w:rPr>
        <w:t>efficiency</w:t>
      </w:r>
      <w:r w:rsidR="00612854" w:rsidRPr="006C21B6">
        <w:rPr>
          <w:lang w:val="en-US"/>
        </w:rPr>
        <w:t>.</w:t>
      </w:r>
      <w:r w:rsidRPr="006C21B6">
        <w:rPr>
          <w:lang w:val="en-US"/>
        </w:rPr>
        <w:t xml:space="preserve"> </w:t>
      </w:r>
      <w:r w:rsidR="00612854" w:rsidRPr="006C21B6">
        <w:rPr>
          <w:lang w:val="en-US"/>
        </w:rPr>
        <w:t>T</w:t>
      </w:r>
      <w:r w:rsidRPr="006C21B6">
        <w:rPr>
          <w:lang w:val="en-US"/>
        </w:rPr>
        <w:t xml:space="preserve">hey </w:t>
      </w:r>
      <w:r w:rsidR="00550DC5" w:rsidRPr="006C21B6">
        <w:rPr>
          <w:lang w:val="en-US"/>
        </w:rPr>
        <w:t xml:space="preserve">also </w:t>
      </w:r>
      <w:r w:rsidRPr="006C21B6">
        <w:rPr>
          <w:lang w:val="en-US"/>
        </w:rPr>
        <w:t xml:space="preserve">have to </w:t>
      </w:r>
      <w:r w:rsidR="00E723F7" w:rsidRPr="006C21B6">
        <w:rPr>
          <w:lang w:val="en-US"/>
        </w:rPr>
        <w:t>ensure the protection of</w:t>
      </w:r>
      <w:r w:rsidRPr="006C21B6">
        <w:rPr>
          <w:lang w:val="en-US"/>
        </w:rPr>
        <w:t xml:space="preserve"> the </w:t>
      </w:r>
      <w:r w:rsidRPr="00BA01AF">
        <w:rPr>
          <w:b/>
          <w:lang w:val="en-US"/>
        </w:rPr>
        <w:t>confidentiality of journalists’ sources</w:t>
      </w:r>
      <w:r w:rsidRPr="006C21B6">
        <w:rPr>
          <w:lang w:val="en-US"/>
        </w:rPr>
        <w:t xml:space="preserve"> and</w:t>
      </w:r>
      <w:r w:rsidR="00612854" w:rsidRPr="006C21B6">
        <w:rPr>
          <w:lang w:val="en-US"/>
        </w:rPr>
        <w:t xml:space="preserve"> their </w:t>
      </w:r>
      <w:r w:rsidR="00612854" w:rsidRPr="00BA01AF">
        <w:rPr>
          <w:b/>
          <w:lang w:val="en-US"/>
        </w:rPr>
        <w:t>deontology</w:t>
      </w:r>
      <w:r w:rsidR="00612854" w:rsidRPr="006C21B6">
        <w:rPr>
          <w:lang w:val="en-US"/>
        </w:rPr>
        <w:t>. T</w:t>
      </w:r>
      <w:r w:rsidRPr="006C21B6">
        <w:rPr>
          <w:lang w:val="en-US"/>
        </w:rPr>
        <w:t>hey have to choose which information can be transmitted to the public in criminal investigations</w:t>
      </w:r>
      <w:r w:rsidR="00E723F7" w:rsidRPr="006C21B6">
        <w:rPr>
          <w:lang w:val="en-US"/>
        </w:rPr>
        <w:t xml:space="preserve">. </w:t>
      </w:r>
    </w:p>
    <w:p w:rsidR="00EB7F71" w:rsidRDefault="00EB7F71" w:rsidP="00B1707D">
      <w:pPr>
        <w:jc w:val="both"/>
        <w:rPr>
          <w:lang w:val="en-US"/>
        </w:rPr>
      </w:pPr>
    </w:p>
    <w:p w:rsidR="00B1707D" w:rsidRPr="006C21B6" w:rsidRDefault="00B1707D" w:rsidP="00B1707D">
      <w:pPr>
        <w:jc w:val="both"/>
        <w:rPr>
          <w:lang w:val="en-US"/>
        </w:rPr>
      </w:pPr>
      <w:r w:rsidRPr="006C21B6">
        <w:rPr>
          <w:lang w:val="en-US"/>
        </w:rPr>
        <w:t xml:space="preserve">These decisions require an extensive knowledge of a complex case law, </w:t>
      </w:r>
      <w:r w:rsidR="00E723F7" w:rsidRPr="006C21B6">
        <w:rPr>
          <w:lang w:val="en-US"/>
        </w:rPr>
        <w:t xml:space="preserve">which originates from </w:t>
      </w:r>
      <w:r w:rsidR="00612854" w:rsidRPr="006C21B6">
        <w:rPr>
          <w:lang w:val="en-US"/>
        </w:rPr>
        <w:t>the EU</w:t>
      </w:r>
      <w:r w:rsidR="00E723F7" w:rsidRPr="006C21B6">
        <w:rPr>
          <w:lang w:val="en-US"/>
        </w:rPr>
        <w:t xml:space="preserve"> Charter of Fundamental Rights and </w:t>
      </w:r>
      <w:r w:rsidR="00612854" w:rsidRPr="006C21B6">
        <w:rPr>
          <w:lang w:val="en-US"/>
        </w:rPr>
        <w:t xml:space="preserve">from </w:t>
      </w:r>
      <w:r w:rsidR="00E723F7" w:rsidRPr="006C21B6">
        <w:rPr>
          <w:lang w:val="en-US"/>
        </w:rPr>
        <w:t>the European Convention on Human Rights</w:t>
      </w:r>
      <w:r w:rsidRPr="006C21B6">
        <w:rPr>
          <w:lang w:val="en-US"/>
        </w:rPr>
        <w:t>, as well as a good understanding of the work and practices of journalists.</w:t>
      </w:r>
    </w:p>
    <w:p w:rsidR="001152D1" w:rsidRPr="006C21B6" w:rsidRDefault="001152D1" w:rsidP="00B1707D">
      <w:pPr>
        <w:jc w:val="both"/>
        <w:rPr>
          <w:lang w:val="en-US"/>
        </w:rPr>
      </w:pPr>
    </w:p>
    <w:p w:rsidR="001152D1" w:rsidRPr="006C21B6" w:rsidRDefault="00EB7F71" w:rsidP="00B1707D">
      <w:pPr>
        <w:jc w:val="both"/>
        <w:rPr>
          <w:lang w:val="en-US"/>
        </w:rPr>
      </w:pPr>
      <w:r>
        <w:rPr>
          <w:lang w:val="en-US"/>
        </w:rPr>
        <w:t xml:space="preserve">Moreover, </w:t>
      </w:r>
      <w:r w:rsidR="00BA01AF" w:rsidRPr="00BA01AF">
        <w:rPr>
          <w:b/>
          <w:lang w:val="en-US"/>
        </w:rPr>
        <w:t>European</w:t>
      </w:r>
      <w:r w:rsidR="00BA01AF">
        <w:rPr>
          <w:lang w:val="en-US"/>
        </w:rPr>
        <w:t xml:space="preserve"> </w:t>
      </w:r>
      <w:r w:rsidRPr="00BA01AF">
        <w:rPr>
          <w:b/>
          <w:lang w:val="en-US"/>
        </w:rPr>
        <w:t>judges and prosecutors</w:t>
      </w:r>
      <w:r w:rsidR="001152D1" w:rsidRPr="006C21B6">
        <w:rPr>
          <w:lang w:val="en-US"/>
        </w:rPr>
        <w:t xml:space="preserve"> have to realize that </w:t>
      </w:r>
      <w:r w:rsidR="00FF5904" w:rsidRPr="006C21B6">
        <w:rPr>
          <w:lang w:val="en-US"/>
        </w:rPr>
        <w:t>full secrecy</w:t>
      </w:r>
      <w:r w:rsidR="001152D1" w:rsidRPr="006C21B6">
        <w:rPr>
          <w:lang w:val="en-US"/>
        </w:rPr>
        <w:t xml:space="preserve"> about investigations is</w:t>
      </w:r>
      <w:r w:rsidR="0063057C" w:rsidRPr="006C21B6">
        <w:rPr>
          <w:lang w:val="en-US"/>
        </w:rPr>
        <w:t xml:space="preserve"> both impossible and </w:t>
      </w:r>
      <w:r w:rsidR="001152D1" w:rsidRPr="006C21B6">
        <w:rPr>
          <w:lang w:val="en-US"/>
        </w:rPr>
        <w:t>wor</w:t>
      </w:r>
      <w:r w:rsidR="0063057C" w:rsidRPr="006C21B6">
        <w:rPr>
          <w:lang w:val="en-US"/>
        </w:rPr>
        <w:t>se</w:t>
      </w:r>
      <w:r w:rsidR="001152D1" w:rsidRPr="006C21B6">
        <w:rPr>
          <w:lang w:val="en-US"/>
        </w:rPr>
        <w:t xml:space="preserve"> than anything</w:t>
      </w:r>
      <w:r w:rsidR="008C4DD3">
        <w:rPr>
          <w:lang w:val="en-US"/>
        </w:rPr>
        <w:t>, that whenever</w:t>
      </w:r>
      <w:r w:rsidR="001152D1" w:rsidRPr="006C21B6">
        <w:rPr>
          <w:lang w:val="en-US"/>
        </w:rPr>
        <w:t xml:space="preserve"> </w:t>
      </w:r>
      <w:r>
        <w:rPr>
          <w:lang w:val="en-US"/>
        </w:rPr>
        <w:t>a</w:t>
      </w:r>
      <w:r w:rsidR="001152D1" w:rsidRPr="006C21B6">
        <w:rPr>
          <w:lang w:val="en-US"/>
        </w:rPr>
        <w:t xml:space="preserve"> journalist cannot obtain the information </w:t>
      </w:r>
      <w:r>
        <w:rPr>
          <w:lang w:val="en-US"/>
        </w:rPr>
        <w:t>he</w:t>
      </w:r>
      <w:r w:rsidR="001152D1" w:rsidRPr="006C21B6">
        <w:rPr>
          <w:lang w:val="en-US"/>
        </w:rPr>
        <w:t xml:space="preserve"> </w:t>
      </w:r>
      <w:r>
        <w:rPr>
          <w:lang w:val="en-US"/>
        </w:rPr>
        <w:t xml:space="preserve">needs, he </w:t>
      </w:r>
      <w:r w:rsidR="001152D1" w:rsidRPr="006C21B6">
        <w:rPr>
          <w:lang w:val="en-US"/>
        </w:rPr>
        <w:t xml:space="preserve">will </w:t>
      </w:r>
      <w:r w:rsidR="0063057C" w:rsidRPr="006C21B6">
        <w:rPr>
          <w:lang w:val="en-US"/>
        </w:rPr>
        <w:t>look for it by any means</w:t>
      </w:r>
      <w:r>
        <w:rPr>
          <w:lang w:val="en-US"/>
        </w:rPr>
        <w:t>, that</w:t>
      </w:r>
      <w:r w:rsidR="006C21B6" w:rsidRPr="006C21B6">
        <w:rPr>
          <w:lang w:val="en-US"/>
        </w:rPr>
        <w:t xml:space="preserve"> releasing information</w:t>
      </w:r>
      <w:r w:rsidR="001152D1" w:rsidRPr="006C21B6">
        <w:rPr>
          <w:lang w:val="en-US"/>
        </w:rPr>
        <w:t xml:space="preserve"> means controlling it</w:t>
      </w:r>
      <w:r w:rsidR="0063057C" w:rsidRPr="006C21B6">
        <w:rPr>
          <w:lang w:val="en-US"/>
        </w:rPr>
        <w:t xml:space="preserve"> and</w:t>
      </w:r>
      <w:r w:rsidR="001152D1" w:rsidRPr="006C21B6">
        <w:rPr>
          <w:lang w:val="en-US"/>
        </w:rPr>
        <w:t xml:space="preserve"> a </w:t>
      </w:r>
      <w:r>
        <w:rPr>
          <w:lang w:val="en-US"/>
        </w:rPr>
        <w:t xml:space="preserve">that </w:t>
      </w:r>
      <w:r w:rsidRPr="00BA01AF">
        <w:rPr>
          <w:b/>
          <w:lang w:val="en-US"/>
        </w:rPr>
        <w:t xml:space="preserve">efficient </w:t>
      </w:r>
      <w:r w:rsidR="001152D1" w:rsidRPr="00BA01AF">
        <w:rPr>
          <w:b/>
          <w:lang w:val="en-US"/>
        </w:rPr>
        <w:t>communication</w:t>
      </w:r>
      <w:r w:rsidR="001152D1" w:rsidRPr="006C21B6">
        <w:rPr>
          <w:lang w:val="en-US"/>
        </w:rPr>
        <w:t xml:space="preserve"> can </w:t>
      </w:r>
      <w:r w:rsidR="00BA01AF">
        <w:rPr>
          <w:lang w:val="en-US"/>
        </w:rPr>
        <w:t>smoothen the handling of a</w:t>
      </w:r>
      <w:r w:rsidR="001152D1" w:rsidRPr="006C21B6">
        <w:rPr>
          <w:lang w:val="en-US"/>
        </w:rPr>
        <w:t xml:space="preserve"> case, </w:t>
      </w:r>
      <w:r w:rsidR="0063057C" w:rsidRPr="006C21B6">
        <w:rPr>
          <w:lang w:val="en-US"/>
        </w:rPr>
        <w:t xml:space="preserve">enhance trust between two worlds and finally </w:t>
      </w:r>
      <w:r w:rsidR="001152D1" w:rsidRPr="006C21B6">
        <w:rPr>
          <w:lang w:val="en-US"/>
        </w:rPr>
        <w:t xml:space="preserve">reassure </w:t>
      </w:r>
      <w:r w:rsidR="006C21B6" w:rsidRPr="006C21B6">
        <w:rPr>
          <w:lang w:val="en-US"/>
        </w:rPr>
        <w:t>citizens</w:t>
      </w:r>
      <w:r w:rsidR="001152D1" w:rsidRPr="006C21B6">
        <w:rPr>
          <w:lang w:val="en-US"/>
        </w:rPr>
        <w:t xml:space="preserve"> about their ju</w:t>
      </w:r>
      <w:r w:rsidR="008C4DD3">
        <w:rPr>
          <w:lang w:val="en-US"/>
        </w:rPr>
        <w:t>dicial system</w:t>
      </w:r>
      <w:r w:rsidR="001152D1" w:rsidRPr="006C21B6">
        <w:rPr>
          <w:lang w:val="en-US"/>
        </w:rPr>
        <w:t>.</w:t>
      </w:r>
    </w:p>
    <w:p w:rsidR="00A62675" w:rsidRDefault="00A62675" w:rsidP="00B1707D">
      <w:pPr>
        <w:jc w:val="both"/>
        <w:rPr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2F5AC8" w:rsidRDefault="00BA01AF" w:rsidP="00B1707D">
      <w:pPr>
        <w:jc w:val="both"/>
        <w:rPr>
          <w:b/>
          <w:lang w:val="en-US"/>
        </w:rPr>
      </w:pPr>
      <w:r>
        <w:rPr>
          <w:b/>
          <w:lang w:val="en-US"/>
        </w:rPr>
        <w:t xml:space="preserve">Strengthening the judiciary’s capacity to interact with the press </w:t>
      </w:r>
      <w:r w:rsidR="0081601F" w:rsidRPr="00BA01AF">
        <w:rPr>
          <w:b/>
          <w:lang w:val="en-US"/>
        </w:rPr>
        <w:t xml:space="preserve">is therefore </w:t>
      </w:r>
      <w:r>
        <w:rPr>
          <w:b/>
          <w:lang w:val="en-US"/>
        </w:rPr>
        <w:t xml:space="preserve">a </w:t>
      </w:r>
      <w:r w:rsidR="0081601F" w:rsidRPr="00BA01AF">
        <w:rPr>
          <w:b/>
          <w:lang w:val="en-US"/>
        </w:rPr>
        <w:t>key</w:t>
      </w:r>
      <w:r w:rsidR="00D37D58" w:rsidRPr="00BA01AF">
        <w:rPr>
          <w:b/>
          <w:lang w:val="en-US"/>
        </w:rPr>
        <w:t xml:space="preserve"> </w:t>
      </w:r>
      <w:r>
        <w:rPr>
          <w:b/>
          <w:lang w:val="en-US"/>
        </w:rPr>
        <w:t>issue in order to ensure the freedom of the press and enhance understanding and trust of the public towards the Justice system.</w:t>
      </w: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b/>
          <w:lang w:val="en-US"/>
        </w:rPr>
      </w:pPr>
    </w:p>
    <w:p w:rsidR="00BA01AF" w:rsidRPr="00BA01AF" w:rsidRDefault="00BA01AF" w:rsidP="00BA01AF">
      <w:pPr>
        <w:jc w:val="both"/>
        <w:rPr>
          <w:b/>
          <w:lang w:val="en-US"/>
        </w:rPr>
      </w:pPr>
      <w:r>
        <w:rPr>
          <w:b/>
          <w:lang w:val="en-US"/>
        </w:rPr>
        <w:t>II.</w:t>
      </w:r>
      <w:r>
        <w:rPr>
          <w:b/>
          <w:lang w:val="en-US"/>
        </w:rPr>
        <w:tab/>
      </w:r>
      <w:r w:rsidRPr="00BA01AF">
        <w:rPr>
          <w:b/>
          <w:lang w:val="en-US"/>
        </w:rPr>
        <w:t>Outline of training activity:</w:t>
      </w:r>
    </w:p>
    <w:p w:rsidR="00BA01AF" w:rsidRPr="00BA01AF" w:rsidRDefault="00BA01AF" w:rsidP="00B1707D">
      <w:pPr>
        <w:jc w:val="both"/>
        <w:rPr>
          <w:b/>
          <w:lang w:val="en-US"/>
        </w:rPr>
      </w:pPr>
    </w:p>
    <w:p w:rsidR="00BA01AF" w:rsidRDefault="00BA01AF" w:rsidP="00B1707D">
      <w:pPr>
        <w:jc w:val="both"/>
        <w:rPr>
          <w:lang w:val="en-US"/>
        </w:rPr>
      </w:pP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</w:p>
    <w:p w:rsidR="00BA01AF" w:rsidRDefault="001152D1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 w:rsidRPr="00BA01AF">
        <w:rPr>
          <w:b/>
          <w:lang w:val="en-US"/>
        </w:rPr>
        <w:t xml:space="preserve">During 3 days 50 </w:t>
      </w:r>
      <w:r w:rsidR="00BA01AF" w:rsidRPr="00BA01AF">
        <w:rPr>
          <w:b/>
          <w:lang w:val="en-US"/>
        </w:rPr>
        <w:t>J</w:t>
      </w:r>
      <w:r w:rsidRPr="00BA01AF">
        <w:rPr>
          <w:b/>
          <w:lang w:val="en-US"/>
        </w:rPr>
        <w:t>udges and Prosecutors will at</w:t>
      </w:r>
      <w:r w:rsidR="00BA01AF" w:rsidRPr="00BA01AF">
        <w:rPr>
          <w:b/>
          <w:lang w:val="en-US"/>
        </w:rPr>
        <w:t xml:space="preserve">tend </w:t>
      </w:r>
      <w:r w:rsidR="00BA01AF">
        <w:rPr>
          <w:b/>
          <w:lang w:val="en-US"/>
        </w:rPr>
        <w:t>plenaries</w:t>
      </w:r>
      <w:r w:rsidR="00BA01AF" w:rsidRPr="00BA01AF">
        <w:rPr>
          <w:b/>
          <w:lang w:val="en-US"/>
        </w:rPr>
        <w:t xml:space="preserve"> and workshops providing a European and comparative approach to:</w:t>
      </w: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 w:rsidRPr="00BA01AF">
        <w:rPr>
          <w:b/>
          <w:lang w:val="en-US"/>
        </w:rPr>
        <w:t>-Legal frameworks (freedom of the press, privacy rights…etc)</w:t>
      </w: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 w:rsidRPr="00BA01AF">
        <w:rPr>
          <w:b/>
          <w:lang w:val="en-US"/>
        </w:rPr>
        <w:t>-Relation between the judiciary and the media</w:t>
      </w:r>
    </w:p>
    <w:p w:rsid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 w:rsidRPr="00BA01AF">
        <w:rPr>
          <w:b/>
          <w:lang w:val="en-US"/>
        </w:rPr>
        <w:t>-Best practices on judicial communication skills</w:t>
      </w: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</w:p>
    <w:p w:rsid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 w:rsidRPr="00BA01AF">
        <w:rPr>
          <w:b/>
          <w:lang w:val="en-US"/>
        </w:rPr>
        <w:t>The training activities will be practice orientated and include</w:t>
      </w:r>
      <w:r w:rsidR="001152D1" w:rsidRPr="00BA01AF">
        <w:rPr>
          <w:b/>
          <w:lang w:val="en-US"/>
        </w:rPr>
        <w:t xml:space="preserve"> visit</w:t>
      </w:r>
      <w:r w:rsidRPr="00BA01AF">
        <w:rPr>
          <w:b/>
          <w:lang w:val="en-US"/>
        </w:rPr>
        <w:t>s</w:t>
      </w:r>
      <w:r w:rsidR="001152D1" w:rsidRPr="00BA01AF">
        <w:rPr>
          <w:b/>
          <w:lang w:val="en-US"/>
        </w:rPr>
        <w:t xml:space="preserve"> to </w:t>
      </w:r>
      <w:r w:rsidR="003A470F" w:rsidRPr="00BA01AF">
        <w:rPr>
          <w:b/>
          <w:lang w:val="en-US"/>
        </w:rPr>
        <w:t xml:space="preserve">a </w:t>
      </w:r>
      <w:r w:rsidRPr="00BA01AF">
        <w:rPr>
          <w:b/>
          <w:lang w:val="en-US"/>
        </w:rPr>
        <w:t>press organs and workshops on</w:t>
      </w:r>
      <w:r w:rsidR="001152D1" w:rsidRPr="00BA01AF">
        <w:rPr>
          <w:b/>
          <w:lang w:val="en-US"/>
        </w:rPr>
        <w:t xml:space="preserve"> media training</w:t>
      </w:r>
      <w:r w:rsidRPr="00BA01AF">
        <w:rPr>
          <w:b/>
          <w:lang w:val="en-US"/>
        </w:rPr>
        <w:t xml:space="preserve">. </w:t>
      </w:r>
    </w:p>
    <w:p w:rsid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</w:p>
    <w:p w:rsidR="00BA01AF" w:rsidRP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lang w:val="en-US"/>
        </w:rPr>
      </w:pPr>
      <w:r>
        <w:rPr>
          <w:b/>
          <w:lang w:val="en-US"/>
        </w:rPr>
        <w:t>Working languages: FR/EN</w:t>
      </w:r>
    </w:p>
    <w:p w:rsidR="00BA01AF" w:rsidRDefault="00BA01AF" w:rsidP="0037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lang w:val="en-US"/>
        </w:rPr>
      </w:pPr>
    </w:p>
    <w:p w:rsidR="00BA01AF" w:rsidRDefault="00BA01AF" w:rsidP="00B1707D">
      <w:pPr>
        <w:jc w:val="both"/>
        <w:rPr>
          <w:lang w:val="en-US"/>
        </w:rPr>
      </w:pPr>
    </w:p>
    <w:p w:rsidR="001152D1" w:rsidRDefault="001152D1" w:rsidP="00B1707D">
      <w:pPr>
        <w:jc w:val="both"/>
        <w:rPr>
          <w:lang w:val="en-US"/>
        </w:rPr>
      </w:pPr>
    </w:p>
    <w:p w:rsidR="002425EC" w:rsidRDefault="002425EC" w:rsidP="00B1707D">
      <w:pPr>
        <w:jc w:val="both"/>
        <w:rPr>
          <w:lang w:val="en-US"/>
        </w:rPr>
      </w:pPr>
    </w:p>
    <w:p w:rsidR="00787753" w:rsidRDefault="00787753" w:rsidP="00B1707D">
      <w:pPr>
        <w:jc w:val="both"/>
        <w:rPr>
          <w:lang w:val="en-US"/>
        </w:rPr>
      </w:pPr>
    </w:p>
    <w:p w:rsidR="00787753" w:rsidRDefault="00787753" w:rsidP="00B1707D">
      <w:pPr>
        <w:jc w:val="both"/>
        <w:rPr>
          <w:lang w:val="en-US"/>
        </w:rPr>
      </w:pPr>
    </w:p>
    <w:sectPr w:rsidR="00787753" w:rsidSect="00BA01AF">
      <w:footerReference w:type="default" r:id="rId12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86" w:rsidRDefault="00427686" w:rsidP="00212577">
      <w:r>
        <w:separator/>
      </w:r>
    </w:p>
  </w:endnote>
  <w:endnote w:type="continuationSeparator" w:id="1">
    <w:p w:rsidR="00427686" w:rsidRDefault="00427686" w:rsidP="0021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Pr="000F2C92" w:rsidRDefault="000F2C92">
    <w:pPr>
      <w:pStyle w:val="Stopka"/>
      <w:jc w:val="right"/>
      <w:rPr>
        <w:sz w:val="18"/>
        <w:szCs w:val="18"/>
      </w:rPr>
    </w:pPr>
    <w:r w:rsidRPr="000F2C92">
      <w:rPr>
        <w:sz w:val="18"/>
        <w:szCs w:val="18"/>
      </w:rPr>
      <w:fldChar w:fldCharType="begin"/>
    </w:r>
    <w:r w:rsidRPr="000F2C92">
      <w:rPr>
        <w:sz w:val="18"/>
        <w:szCs w:val="18"/>
      </w:rPr>
      <w:instrText>PAGE   \* MERGEFORMAT</w:instrText>
    </w:r>
    <w:r w:rsidRPr="000F2C92">
      <w:rPr>
        <w:sz w:val="18"/>
        <w:szCs w:val="18"/>
      </w:rPr>
      <w:fldChar w:fldCharType="separate"/>
    </w:r>
    <w:r w:rsidR="0060432E">
      <w:rPr>
        <w:noProof/>
        <w:sz w:val="18"/>
        <w:szCs w:val="18"/>
      </w:rPr>
      <w:t>1</w:t>
    </w:r>
    <w:r w:rsidRPr="000F2C92">
      <w:rPr>
        <w:sz w:val="18"/>
        <w:szCs w:val="18"/>
      </w:rPr>
      <w:fldChar w:fldCharType="end"/>
    </w:r>
  </w:p>
  <w:p w:rsidR="000F2C92" w:rsidRDefault="000F2C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86" w:rsidRDefault="00427686" w:rsidP="00212577">
      <w:r>
        <w:separator/>
      </w:r>
    </w:p>
  </w:footnote>
  <w:footnote w:type="continuationSeparator" w:id="1">
    <w:p w:rsidR="00427686" w:rsidRDefault="00427686" w:rsidP="00212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B75"/>
    <w:multiLevelType w:val="hybridMultilevel"/>
    <w:tmpl w:val="FBA450DE"/>
    <w:lvl w:ilvl="0" w:tplc="0B5285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4278"/>
    <w:multiLevelType w:val="hybridMultilevel"/>
    <w:tmpl w:val="4EC67A3A"/>
    <w:lvl w:ilvl="0" w:tplc="A2D2BE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653A"/>
    <w:multiLevelType w:val="hybridMultilevel"/>
    <w:tmpl w:val="D76848D2"/>
    <w:lvl w:ilvl="0" w:tplc="C742A2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81597"/>
    <w:multiLevelType w:val="hybridMultilevel"/>
    <w:tmpl w:val="CEC4BF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0918"/>
    <w:multiLevelType w:val="hybridMultilevel"/>
    <w:tmpl w:val="ACAE3E70"/>
    <w:lvl w:ilvl="0" w:tplc="199A8D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63695"/>
    <w:multiLevelType w:val="hybridMultilevel"/>
    <w:tmpl w:val="38A218EA"/>
    <w:lvl w:ilvl="0" w:tplc="199A8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556EC"/>
    <w:multiLevelType w:val="hybridMultilevel"/>
    <w:tmpl w:val="682A79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B1181"/>
    <w:multiLevelType w:val="hybridMultilevel"/>
    <w:tmpl w:val="B85883A8"/>
    <w:lvl w:ilvl="0" w:tplc="199A8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C2F3C"/>
    <w:multiLevelType w:val="hybridMultilevel"/>
    <w:tmpl w:val="C3D454CE"/>
    <w:lvl w:ilvl="0" w:tplc="FEAE06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96B6C"/>
    <w:multiLevelType w:val="hybridMultilevel"/>
    <w:tmpl w:val="BED6C9E4"/>
    <w:lvl w:ilvl="0" w:tplc="6F1264F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A7272"/>
    <w:multiLevelType w:val="hybridMultilevel"/>
    <w:tmpl w:val="13248F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7D"/>
    <w:rsid w:val="000069C0"/>
    <w:rsid w:val="000220C8"/>
    <w:rsid w:val="00024715"/>
    <w:rsid w:val="00036A7F"/>
    <w:rsid w:val="00041A95"/>
    <w:rsid w:val="0005666D"/>
    <w:rsid w:val="000614B8"/>
    <w:rsid w:val="00081720"/>
    <w:rsid w:val="000A045F"/>
    <w:rsid w:val="000B3A35"/>
    <w:rsid w:val="000C0965"/>
    <w:rsid w:val="000C210E"/>
    <w:rsid w:val="000C6752"/>
    <w:rsid w:val="000C7786"/>
    <w:rsid w:val="000D0D6A"/>
    <w:rsid w:val="000D1301"/>
    <w:rsid w:val="000D34A2"/>
    <w:rsid w:val="000D3559"/>
    <w:rsid w:val="000F2C92"/>
    <w:rsid w:val="00106BAF"/>
    <w:rsid w:val="001152D1"/>
    <w:rsid w:val="00115D0E"/>
    <w:rsid w:val="001263A5"/>
    <w:rsid w:val="001315A4"/>
    <w:rsid w:val="001350BE"/>
    <w:rsid w:val="00136827"/>
    <w:rsid w:val="00151E11"/>
    <w:rsid w:val="00161337"/>
    <w:rsid w:val="00170561"/>
    <w:rsid w:val="0017233D"/>
    <w:rsid w:val="00173A6F"/>
    <w:rsid w:val="001814D3"/>
    <w:rsid w:val="00194B5B"/>
    <w:rsid w:val="001A3C4A"/>
    <w:rsid w:val="001C05FF"/>
    <w:rsid w:val="001C0AE0"/>
    <w:rsid w:val="001C132C"/>
    <w:rsid w:val="001C32C9"/>
    <w:rsid w:val="001C6476"/>
    <w:rsid w:val="001C7975"/>
    <w:rsid w:val="001E1967"/>
    <w:rsid w:val="001E4661"/>
    <w:rsid w:val="00201B61"/>
    <w:rsid w:val="00206BFE"/>
    <w:rsid w:val="002116BC"/>
    <w:rsid w:val="00212577"/>
    <w:rsid w:val="0021620F"/>
    <w:rsid w:val="00216AA0"/>
    <w:rsid w:val="002221AF"/>
    <w:rsid w:val="00223641"/>
    <w:rsid w:val="00224087"/>
    <w:rsid w:val="0022611E"/>
    <w:rsid w:val="002425EC"/>
    <w:rsid w:val="002456EC"/>
    <w:rsid w:val="002514B5"/>
    <w:rsid w:val="00254045"/>
    <w:rsid w:val="00272AAA"/>
    <w:rsid w:val="00276EEB"/>
    <w:rsid w:val="002859A9"/>
    <w:rsid w:val="002947EF"/>
    <w:rsid w:val="0029773F"/>
    <w:rsid w:val="002A6086"/>
    <w:rsid w:val="002C5653"/>
    <w:rsid w:val="002C63AD"/>
    <w:rsid w:val="002C7213"/>
    <w:rsid w:val="002E181B"/>
    <w:rsid w:val="002F5AC8"/>
    <w:rsid w:val="00301836"/>
    <w:rsid w:val="00302D1E"/>
    <w:rsid w:val="003050D9"/>
    <w:rsid w:val="00305522"/>
    <w:rsid w:val="0031190F"/>
    <w:rsid w:val="0031376A"/>
    <w:rsid w:val="003152F0"/>
    <w:rsid w:val="0031682E"/>
    <w:rsid w:val="00323917"/>
    <w:rsid w:val="00323D48"/>
    <w:rsid w:val="00325CA3"/>
    <w:rsid w:val="0033375E"/>
    <w:rsid w:val="00333C8B"/>
    <w:rsid w:val="0034141B"/>
    <w:rsid w:val="00364E0B"/>
    <w:rsid w:val="00370BB8"/>
    <w:rsid w:val="00370EB4"/>
    <w:rsid w:val="0037406D"/>
    <w:rsid w:val="0038063E"/>
    <w:rsid w:val="003815E4"/>
    <w:rsid w:val="003834BD"/>
    <w:rsid w:val="003869ED"/>
    <w:rsid w:val="003901D8"/>
    <w:rsid w:val="00393CA8"/>
    <w:rsid w:val="00396D43"/>
    <w:rsid w:val="003A470F"/>
    <w:rsid w:val="003A4E74"/>
    <w:rsid w:val="003E0414"/>
    <w:rsid w:val="003F127D"/>
    <w:rsid w:val="003F13DA"/>
    <w:rsid w:val="00405279"/>
    <w:rsid w:val="004070A2"/>
    <w:rsid w:val="00407BBC"/>
    <w:rsid w:val="00427015"/>
    <w:rsid w:val="00427686"/>
    <w:rsid w:val="00430F91"/>
    <w:rsid w:val="004470B8"/>
    <w:rsid w:val="00451E7B"/>
    <w:rsid w:val="00474736"/>
    <w:rsid w:val="004923EF"/>
    <w:rsid w:val="004A03C8"/>
    <w:rsid w:val="004A74C6"/>
    <w:rsid w:val="004B4EB2"/>
    <w:rsid w:val="004C4A76"/>
    <w:rsid w:val="004D0536"/>
    <w:rsid w:val="004D12F0"/>
    <w:rsid w:val="004E12FF"/>
    <w:rsid w:val="004E144F"/>
    <w:rsid w:val="004E6F6B"/>
    <w:rsid w:val="004F46B7"/>
    <w:rsid w:val="004F68B5"/>
    <w:rsid w:val="004F7165"/>
    <w:rsid w:val="00507036"/>
    <w:rsid w:val="00511610"/>
    <w:rsid w:val="00515C64"/>
    <w:rsid w:val="00520773"/>
    <w:rsid w:val="00520E1A"/>
    <w:rsid w:val="00521A77"/>
    <w:rsid w:val="00532EE8"/>
    <w:rsid w:val="00533113"/>
    <w:rsid w:val="00537108"/>
    <w:rsid w:val="0053778D"/>
    <w:rsid w:val="00547BF0"/>
    <w:rsid w:val="00550DC5"/>
    <w:rsid w:val="005514B4"/>
    <w:rsid w:val="00563A85"/>
    <w:rsid w:val="005735DF"/>
    <w:rsid w:val="00573D62"/>
    <w:rsid w:val="005744C1"/>
    <w:rsid w:val="00582E7C"/>
    <w:rsid w:val="00590CC9"/>
    <w:rsid w:val="00593E24"/>
    <w:rsid w:val="005A5060"/>
    <w:rsid w:val="005B2972"/>
    <w:rsid w:val="005C20DA"/>
    <w:rsid w:val="005C272C"/>
    <w:rsid w:val="005D2AF1"/>
    <w:rsid w:val="005F250A"/>
    <w:rsid w:val="0060432E"/>
    <w:rsid w:val="00612854"/>
    <w:rsid w:val="00623195"/>
    <w:rsid w:val="006243C2"/>
    <w:rsid w:val="0063057C"/>
    <w:rsid w:val="0064467A"/>
    <w:rsid w:val="0065498B"/>
    <w:rsid w:val="00655C73"/>
    <w:rsid w:val="00660829"/>
    <w:rsid w:val="00661E65"/>
    <w:rsid w:val="00663FCB"/>
    <w:rsid w:val="00672D34"/>
    <w:rsid w:val="0068341E"/>
    <w:rsid w:val="00683925"/>
    <w:rsid w:val="006862D0"/>
    <w:rsid w:val="00687566"/>
    <w:rsid w:val="006A143A"/>
    <w:rsid w:val="006A1491"/>
    <w:rsid w:val="006A1953"/>
    <w:rsid w:val="006B1EF8"/>
    <w:rsid w:val="006B256D"/>
    <w:rsid w:val="006B6B60"/>
    <w:rsid w:val="006C012A"/>
    <w:rsid w:val="006C21B6"/>
    <w:rsid w:val="006D188E"/>
    <w:rsid w:val="006D3F7E"/>
    <w:rsid w:val="006E68F4"/>
    <w:rsid w:val="006F1586"/>
    <w:rsid w:val="006F2299"/>
    <w:rsid w:val="006F38B6"/>
    <w:rsid w:val="006F709E"/>
    <w:rsid w:val="006F7E0A"/>
    <w:rsid w:val="007010EF"/>
    <w:rsid w:val="0070552A"/>
    <w:rsid w:val="00711974"/>
    <w:rsid w:val="00716B70"/>
    <w:rsid w:val="00733452"/>
    <w:rsid w:val="007507D3"/>
    <w:rsid w:val="007562F1"/>
    <w:rsid w:val="00774AFD"/>
    <w:rsid w:val="00787753"/>
    <w:rsid w:val="007A7068"/>
    <w:rsid w:val="007D052C"/>
    <w:rsid w:val="007F1A52"/>
    <w:rsid w:val="00802000"/>
    <w:rsid w:val="008021B9"/>
    <w:rsid w:val="00807B46"/>
    <w:rsid w:val="008143E9"/>
    <w:rsid w:val="0081601F"/>
    <w:rsid w:val="0081639A"/>
    <w:rsid w:val="008176FD"/>
    <w:rsid w:val="00831F6E"/>
    <w:rsid w:val="00834B76"/>
    <w:rsid w:val="00837320"/>
    <w:rsid w:val="00844F67"/>
    <w:rsid w:val="00846277"/>
    <w:rsid w:val="00854D7D"/>
    <w:rsid w:val="00855A08"/>
    <w:rsid w:val="00871780"/>
    <w:rsid w:val="0088228D"/>
    <w:rsid w:val="00883083"/>
    <w:rsid w:val="008973C4"/>
    <w:rsid w:val="0089783E"/>
    <w:rsid w:val="008A58F2"/>
    <w:rsid w:val="008B6515"/>
    <w:rsid w:val="008B79D5"/>
    <w:rsid w:val="008C4DD3"/>
    <w:rsid w:val="008C549E"/>
    <w:rsid w:val="008D308F"/>
    <w:rsid w:val="008D7E13"/>
    <w:rsid w:val="008E0F8A"/>
    <w:rsid w:val="008E2EA9"/>
    <w:rsid w:val="008F133C"/>
    <w:rsid w:val="008F16E2"/>
    <w:rsid w:val="0090036B"/>
    <w:rsid w:val="00902460"/>
    <w:rsid w:val="00937251"/>
    <w:rsid w:val="00937F10"/>
    <w:rsid w:val="00942E3B"/>
    <w:rsid w:val="009637C3"/>
    <w:rsid w:val="009711CD"/>
    <w:rsid w:val="00974269"/>
    <w:rsid w:val="00981180"/>
    <w:rsid w:val="009826EC"/>
    <w:rsid w:val="009A35CA"/>
    <w:rsid w:val="009B4E22"/>
    <w:rsid w:val="009B5136"/>
    <w:rsid w:val="009C3260"/>
    <w:rsid w:val="009C5B47"/>
    <w:rsid w:val="009C6F11"/>
    <w:rsid w:val="009D0E6E"/>
    <w:rsid w:val="009D3B0A"/>
    <w:rsid w:val="009E12BE"/>
    <w:rsid w:val="009F2D21"/>
    <w:rsid w:val="009F43EA"/>
    <w:rsid w:val="00A10DAD"/>
    <w:rsid w:val="00A15EFD"/>
    <w:rsid w:val="00A22632"/>
    <w:rsid w:val="00A26108"/>
    <w:rsid w:val="00A270B0"/>
    <w:rsid w:val="00A2774B"/>
    <w:rsid w:val="00A305E9"/>
    <w:rsid w:val="00A3310A"/>
    <w:rsid w:val="00A42D9F"/>
    <w:rsid w:val="00A440DA"/>
    <w:rsid w:val="00A46032"/>
    <w:rsid w:val="00A57170"/>
    <w:rsid w:val="00A6046F"/>
    <w:rsid w:val="00A62675"/>
    <w:rsid w:val="00A75C47"/>
    <w:rsid w:val="00A969F3"/>
    <w:rsid w:val="00AA1CBB"/>
    <w:rsid w:val="00AA2AEA"/>
    <w:rsid w:val="00AA6605"/>
    <w:rsid w:val="00AC08BC"/>
    <w:rsid w:val="00AD3FDF"/>
    <w:rsid w:val="00AD54BA"/>
    <w:rsid w:val="00AE19CD"/>
    <w:rsid w:val="00AE78F7"/>
    <w:rsid w:val="00AF401B"/>
    <w:rsid w:val="00B1151C"/>
    <w:rsid w:val="00B12594"/>
    <w:rsid w:val="00B1707D"/>
    <w:rsid w:val="00B2356F"/>
    <w:rsid w:val="00B35E50"/>
    <w:rsid w:val="00B41CFD"/>
    <w:rsid w:val="00B54AF5"/>
    <w:rsid w:val="00B65F86"/>
    <w:rsid w:val="00B70D46"/>
    <w:rsid w:val="00B82848"/>
    <w:rsid w:val="00B833B0"/>
    <w:rsid w:val="00B94BBB"/>
    <w:rsid w:val="00BA01AF"/>
    <w:rsid w:val="00BA620B"/>
    <w:rsid w:val="00BA69C2"/>
    <w:rsid w:val="00BB5B0D"/>
    <w:rsid w:val="00BE2FA6"/>
    <w:rsid w:val="00BF0D8E"/>
    <w:rsid w:val="00C02CB1"/>
    <w:rsid w:val="00C03929"/>
    <w:rsid w:val="00C0426C"/>
    <w:rsid w:val="00C32A0B"/>
    <w:rsid w:val="00C36D43"/>
    <w:rsid w:val="00C67432"/>
    <w:rsid w:val="00C674E1"/>
    <w:rsid w:val="00C67DC7"/>
    <w:rsid w:val="00C73AB7"/>
    <w:rsid w:val="00C76B96"/>
    <w:rsid w:val="00C82462"/>
    <w:rsid w:val="00C87C8E"/>
    <w:rsid w:val="00CA00A0"/>
    <w:rsid w:val="00CA1AE1"/>
    <w:rsid w:val="00CC0931"/>
    <w:rsid w:val="00CC3CD9"/>
    <w:rsid w:val="00CD3895"/>
    <w:rsid w:val="00CD5597"/>
    <w:rsid w:val="00CE7A6F"/>
    <w:rsid w:val="00D0008E"/>
    <w:rsid w:val="00D00C4A"/>
    <w:rsid w:val="00D04A42"/>
    <w:rsid w:val="00D10AFF"/>
    <w:rsid w:val="00D11748"/>
    <w:rsid w:val="00D1499E"/>
    <w:rsid w:val="00D15721"/>
    <w:rsid w:val="00D221A0"/>
    <w:rsid w:val="00D37D58"/>
    <w:rsid w:val="00D5074C"/>
    <w:rsid w:val="00D67E8E"/>
    <w:rsid w:val="00D82022"/>
    <w:rsid w:val="00D85047"/>
    <w:rsid w:val="00D85FF2"/>
    <w:rsid w:val="00D91584"/>
    <w:rsid w:val="00D9783E"/>
    <w:rsid w:val="00DA06B2"/>
    <w:rsid w:val="00DA6B1E"/>
    <w:rsid w:val="00DB2F87"/>
    <w:rsid w:val="00DB524A"/>
    <w:rsid w:val="00DB70F4"/>
    <w:rsid w:val="00DC6294"/>
    <w:rsid w:val="00DC6F6E"/>
    <w:rsid w:val="00DD2724"/>
    <w:rsid w:val="00DD729F"/>
    <w:rsid w:val="00DD7B4B"/>
    <w:rsid w:val="00DE21C5"/>
    <w:rsid w:val="00DE4C00"/>
    <w:rsid w:val="00DF40A5"/>
    <w:rsid w:val="00DF7276"/>
    <w:rsid w:val="00E0237D"/>
    <w:rsid w:val="00E02F4B"/>
    <w:rsid w:val="00E15E71"/>
    <w:rsid w:val="00E22EAA"/>
    <w:rsid w:val="00E24A21"/>
    <w:rsid w:val="00E3305E"/>
    <w:rsid w:val="00E40F2A"/>
    <w:rsid w:val="00E571E8"/>
    <w:rsid w:val="00E6198A"/>
    <w:rsid w:val="00E61F9C"/>
    <w:rsid w:val="00E723F7"/>
    <w:rsid w:val="00E7369F"/>
    <w:rsid w:val="00E86EC7"/>
    <w:rsid w:val="00E96BB3"/>
    <w:rsid w:val="00E96F6D"/>
    <w:rsid w:val="00EB377B"/>
    <w:rsid w:val="00EB5DB3"/>
    <w:rsid w:val="00EB7F71"/>
    <w:rsid w:val="00EC07CF"/>
    <w:rsid w:val="00EC475C"/>
    <w:rsid w:val="00EC721B"/>
    <w:rsid w:val="00ED0F4A"/>
    <w:rsid w:val="00ED6F38"/>
    <w:rsid w:val="00EE2163"/>
    <w:rsid w:val="00EE316D"/>
    <w:rsid w:val="00EE5C63"/>
    <w:rsid w:val="00EE71B8"/>
    <w:rsid w:val="00F06027"/>
    <w:rsid w:val="00F1728A"/>
    <w:rsid w:val="00F17347"/>
    <w:rsid w:val="00F2436B"/>
    <w:rsid w:val="00F263A1"/>
    <w:rsid w:val="00F34425"/>
    <w:rsid w:val="00F349AF"/>
    <w:rsid w:val="00F40E6F"/>
    <w:rsid w:val="00F42D88"/>
    <w:rsid w:val="00F50F06"/>
    <w:rsid w:val="00F52D72"/>
    <w:rsid w:val="00F60F5A"/>
    <w:rsid w:val="00F651BA"/>
    <w:rsid w:val="00F7312D"/>
    <w:rsid w:val="00F76741"/>
    <w:rsid w:val="00F817C5"/>
    <w:rsid w:val="00F82302"/>
    <w:rsid w:val="00F86F77"/>
    <w:rsid w:val="00F90AA1"/>
    <w:rsid w:val="00F94F16"/>
    <w:rsid w:val="00FA062E"/>
    <w:rsid w:val="00FA1441"/>
    <w:rsid w:val="00FA3A63"/>
    <w:rsid w:val="00FA66BF"/>
    <w:rsid w:val="00FB1180"/>
    <w:rsid w:val="00FB6911"/>
    <w:rsid w:val="00FC10A8"/>
    <w:rsid w:val="00FC5D31"/>
    <w:rsid w:val="00FC6755"/>
    <w:rsid w:val="00FD0370"/>
    <w:rsid w:val="00FD2A8E"/>
    <w:rsid w:val="00FD757B"/>
    <w:rsid w:val="00FF4846"/>
    <w:rsid w:val="00FF5904"/>
    <w:rsid w:val="00FF62C7"/>
    <w:rsid w:val="00FF7E8E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25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257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12577"/>
    <w:rPr>
      <w:vertAlign w:val="superscript"/>
    </w:rPr>
  </w:style>
  <w:style w:type="character" w:styleId="Hipercze">
    <w:name w:val="Hyperlink"/>
    <w:uiPriority w:val="99"/>
    <w:unhideWhenUsed/>
    <w:rsid w:val="002125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2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2C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2C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2C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FE3C3.A3CCA76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FE4A7.A900D8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6D00-D5A1-45D2-B90A-0B41F1FF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2949138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cid:image001.jpg@01CFE4A7.A900D870</vt:lpwstr>
      </vt:variant>
      <vt:variant>
        <vt:lpwstr/>
      </vt:variant>
      <vt:variant>
        <vt:i4>7995462</vt:i4>
      </vt:variant>
      <vt:variant>
        <vt:i4>2215</vt:i4>
      </vt:variant>
      <vt:variant>
        <vt:i4>1026</vt:i4>
      </vt:variant>
      <vt:variant>
        <vt:i4>1</vt:i4>
      </vt:variant>
      <vt:variant>
        <vt:lpwstr>cid:image002.jpg@01CFE3C3.A3CCA760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CHAMOUARD Benoit</dc:creator>
  <cp:keywords/>
  <cp:lastModifiedBy>Anna Mendel</cp:lastModifiedBy>
  <cp:revision>2</cp:revision>
  <cp:lastPrinted>2014-02-27T13:58:00Z</cp:lastPrinted>
  <dcterms:created xsi:type="dcterms:W3CDTF">2014-11-06T13:54:00Z</dcterms:created>
  <dcterms:modified xsi:type="dcterms:W3CDTF">2014-11-06T13:54:00Z</dcterms:modified>
</cp:coreProperties>
</file>