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50" w:rsidRDefault="00A82B63" w:rsidP="00A82B63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</w:t>
      </w:r>
      <w:r w:rsidR="00021979">
        <w:rPr>
          <w:rFonts w:ascii="Times New Roman" w:eastAsia="Times New Roman" w:hAnsi="Times New Roman" w:cs="Times New Roman"/>
          <w:sz w:val="24"/>
          <w:szCs w:val="24"/>
          <w:lang w:eastAsia="pl-PL"/>
        </w:rPr>
        <w:t>.28.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43656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5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5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dnia </w:t>
      </w:r>
      <w:r w:rsidR="00401A1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36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2019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A82B63" w:rsidRPr="00A82B63" w:rsidRDefault="00A82B63" w:rsidP="00A82B63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2B63" w:rsidRPr="00A82B63" w:rsidRDefault="00A82B63" w:rsidP="00A82B63">
      <w:pPr>
        <w:spacing w:before="840" w:after="840" w:line="360" w:lineRule="auto"/>
        <w:ind w:left="424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Koordynatorzy</w:t>
      </w:r>
      <w:r w:rsidRPr="00A82B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oraz Patroni Praktyk</w:t>
      </w:r>
      <w:r w:rsidRPr="00A82B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aplikantów aplikacji prokuratorskiej</w:t>
      </w:r>
    </w:p>
    <w:p w:rsidR="00A82B63" w:rsidRDefault="00A82B63" w:rsidP="00A82B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Dot. praktyk aplikantów </w:t>
      </w:r>
      <w:r w:rsidR="004365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8</w:t>
      </w:r>
      <w:r w:rsidRPr="00A82B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 rocznika aplikacji prokuratorskiej po XX zjeździe</w:t>
      </w:r>
    </w:p>
    <w:p w:rsidR="00C60350" w:rsidRDefault="00C60350" w:rsidP="00A82B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57540" w:rsidRDefault="00B57540" w:rsidP="00A82B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82B63" w:rsidRPr="00A82B63" w:rsidRDefault="00B57540" w:rsidP="0063319E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40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§ 2, 9 i 10 zarządzenia Dyrektora Krajowej Szkoły Sądownictwa                      i Prokuratury w Krakowie Nr 132/2019 z dnia 15 marca 2019 roku w sprawie szczegółowych zasad odbywania praktyki przez aplikantów aplikacji sędziowskiej, prokuratorskiej oraz ogólnej (tekst ujednolicony), uprzejmie przedstawiam szczegółowy zakres tematyczny, który powinien być przedmiotem praktyk aplikantów aplikacji prokuratorskiej,</w:t>
      </w:r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odbywanych od </w:t>
      </w:r>
      <w:r w:rsidR="00476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32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stycznia do 31 stycznia </w:t>
      </w:r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32CB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 r. rok</w:t>
      </w:r>
      <w:r w:rsidR="008406C9">
        <w:rPr>
          <w:rFonts w:ascii="Times New Roman" w:eastAsia="Times New Roman" w:hAnsi="Times New Roman" w:cs="Times New Roman"/>
          <w:sz w:val="24"/>
          <w:szCs w:val="24"/>
          <w:lang w:eastAsia="pl-PL"/>
        </w:rPr>
        <w:t>u w prokuraturach okręgowych – wydział</w:t>
      </w:r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8406C9">
        <w:rPr>
          <w:rFonts w:ascii="Times New Roman" w:eastAsia="Times New Roman" w:hAnsi="Times New Roman" w:cs="Times New Roman"/>
          <w:sz w:val="24"/>
          <w:szCs w:val="24"/>
          <w:lang w:eastAsia="pl-PL"/>
        </w:rPr>
        <w:t>/działach</w:t>
      </w:r>
      <w:r w:rsidR="00E2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realizujących czynności </w:t>
      </w:r>
      <w:proofErr w:type="spellStart"/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pozakarne</w:t>
      </w:r>
      <w:proofErr w:type="spellEnd"/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prokuratora w zakresie spraw administracyjnych.</w:t>
      </w:r>
    </w:p>
    <w:p w:rsidR="007634F3" w:rsidRDefault="00A82B63" w:rsidP="0063319E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Zasadniczym celem praktyk jest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7634F3" w:rsidRP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umiejętności opracowywani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634F3" w:rsidRP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wniosku o wszczęcie postępowania administracyjnego, 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 w:rsidR="007634F3" w:rsidRP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zwyczajnych i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634F3" w:rsidRP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nadzwyczajnych środków odwoławczych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; 2)</w:t>
      </w:r>
      <w:r w:rsidR="007634F3" w:rsidRP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zapoznanie aplikantów z czynnościami podejmowanymi przez prokuratorów, którym powierzono zadania z zakresu prawa administracyjnego, ze szczególnym uwzględnieniem działań w sprawach, w których prokurator sporządzał sprzeciw od ostatecznej decyzji administracyjnej - metodyka postępowania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; 3) u</w:t>
      </w:r>
      <w:r w:rsidR="007634F3" w:rsidRP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trwalanie umiejętności sporządzania sprzeciwów.</w:t>
      </w:r>
    </w:p>
    <w:p w:rsidR="00A82B63" w:rsidRPr="00A82B63" w:rsidRDefault="00041AC6" w:rsidP="0063319E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Ogólnym z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ałożeniem praktyki jest nadto </w:t>
      </w:r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zaznajomienie aplikantów z czynnościami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metodyką pracy patrona oraz doskonalenie umiejętności wykorzystania wiedzy teoretycznej i znajomości orzecznictwa. Każdorazowo praktyka </w:t>
      </w:r>
      <w:r w:rsidR="00FB3CC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winna utrwalić wiedzę zdobytą podczas bezpośrednio poprzedzających ją zajęć seminaryjnych w ramach zjazdu. </w:t>
      </w:r>
    </w:p>
    <w:p w:rsidR="00A82B63" w:rsidRDefault="00A82B63" w:rsidP="0063319E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XX zjazdu aplikacji prokuratorskiej odbywającego się w dniach od </w:t>
      </w:r>
      <w:r w:rsidR="00436568">
        <w:rPr>
          <w:rFonts w:ascii="Times New Roman" w:eastAsia="Times New Roman" w:hAnsi="Times New Roman" w:cs="Times New Roman"/>
          <w:sz w:val="24"/>
          <w:szCs w:val="24"/>
          <w:lang w:eastAsia="pl-PL"/>
        </w:rPr>
        <w:t>7 do 10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 stycznia 20</w:t>
      </w:r>
      <w:r w:rsidR="0043656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12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są następujące zagadnienia związane z udziałem</w:t>
      </w:r>
      <w:r w:rsidRPr="00A82B63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</w:t>
      </w:r>
      <w:r w:rsidRPr="00A82B63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prokuratora w</w:t>
      </w:r>
      <w:r w:rsidR="007634F3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 </w:t>
      </w:r>
      <w:r w:rsidRPr="00A82B63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sprawach z zakresu postępowania administracyjnego, a w szczególności:</w:t>
      </w:r>
    </w:p>
    <w:p w:rsidR="00C60350" w:rsidRDefault="00C60350" w:rsidP="0063319E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</w:p>
    <w:p w:rsidR="00D970BF" w:rsidRPr="00A82B63" w:rsidRDefault="00D970BF" w:rsidP="00A82B63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</w:p>
    <w:p w:rsidR="00A82B63" w:rsidRPr="00A82B63" w:rsidRDefault="00A82B63" w:rsidP="0063319E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lastRenderedPageBreak/>
        <w:t>Prawo materialne – regulacje szczegółowe:</w:t>
      </w:r>
    </w:p>
    <w:p w:rsidR="00A82B63" w:rsidRPr="00A82B63" w:rsidRDefault="00A82B63" w:rsidP="0063319E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27 marca 2003 r. o planowaniu i zagospodarowaniu przestrzennym (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 Dz. U. z 201</w:t>
      </w:r>
      <w:r w:rsidR="00777E3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777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 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</w:t>
      </w:r>
    </w:p>
    <w:p w:rsidR="00A82B63" w:rsidRPr="00A82B63" w:rsidRDefault="00A82B63" w:rsidP="0063319E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7 lipca 1994 r. Prawo budowlane (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1186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– z uwzględnieniem niezbędnych instytucji zawartych w ustawach dotyczących ochrony środowiska; </w:t>
      </w:r>
    </w:p>
    <w:p w:rsidR="00A82B63" w:rsidRPr="00A82B63" w:rsidRDefault="00A82B63" w:rsidP="0063319E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21 sierpnia 1997 r. o gospodarce nieruchomościami (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2204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A82B63" w:rsidRPr="00A82B63" w:rsidRDefault="00A82B63" w:rsidP="0063319E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20 czerwca 1997 r. o ruchu drogowym (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A82B63" w:rsidRPr="00A82B63" w:rsidRDefault="00A82B63" w:rsidP="0063319E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5 stycznia 2011 r. o kierujących pojazdami (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341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A82B63" w:rsidRPr="00A82B63" w:rsidRDefault="00A82B63" w:rsidP="0063319E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11 marca 2004 r. o podatku od towarów usług (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 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2174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lub ustawa z dnia 6 grudnia 2008 r. o podatku akcyzowym (Dz. U. z 2018 r., poz. 1114 z 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A82B63" w:rsidRPr="00A82B63" w:rsidRDefault="00A82B63" w:rsidP="0063319E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września 2001 r. o dostępie do informacji publicznej (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 201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 r., poz. 1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429 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powiązaniu z przepisami ustawy o ochronie informacji niejawnych;</w:t>
      </w:r>
    </w:p>
    <w:p w:rsidR="00A82B63" w:rsidRPr="00A82B63" w:rsidRDefault="00A82B63" w:rsidP="0063319E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10 maja 2018 r. o ochronie danych osobowych (Dz. U. 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2019 r. 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764AD0">
        <w:rPr>
          <w:rFonts w:ascii="Times New Roman" w:eastAsia="Times New Roman" w:hAnsi="Times New Roman" w:cs="Times New Roman"/>
          <w:sz w:val="24"/>
          <w:szCs w:val="24"/>
          <w:lang w:eastAsia="pl-PL"/>
        </w:rPr>
        <w:t>1781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rozporządzenie Parlamentu Europejskiego i Rady (UE) 2016/679 z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kwietnia 2016 r. w sprawie ochrony osób fizycznych w związku </w:t>
      </w:r>
      <w:r w:rsidR="0027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danych; Dz. U. UE L 119 z dnia 4 maja 2016). </w:t>
      </w:r>
    </w:p>
    <w:p w:rsidR="00A82B63" w:rsidRPr="00A82B63" w:rsidRDefault="00A82B63" w:rsidP="00270069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63" w:rsidRPr="0063319E" w:rsidRDefault="00A82B63" w:rsidP="00270069">
      <w:pPr>
        <w:widowControl w:val="0"/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kern w:val="144"/>
          <w:sz w:val="24"/>
          <w:szCs w:val="24"/>
        </w:rPr>
      </w:pPr>
      <w:r w:rsidRPr="00A82B63">
        <w:rPr>
          <w:rFonts w:ascii="Times New Roman" w:eastAsia="Calibri" w:hAnsi="Times New Roman" w:cs="Times New Roman"/>
          <w:b/>
          <w:kern w:val="144"/>
          <w:sz w:val="24"/>
          <w:szCs w:val="24"/>
        </w:rPr>
        <w:t>Wybrane zagadnienia Kodeksu postępowania administracyjnego.</w:t>
      </w:r>
    </w:p>
    <w:p w:rsidR="0063319E" w:rsidRPr="00A82B63" w:rsidRDefault="0063319E" w:rsidP="0063319E">
      <w:pPr>
        <w:widowControl w:val="0"/>
        <w:spacing w:before="120" w:after="12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144"/>
          <w:sz w:val="24"/>
          <w:szCs w:val="24"/>
        </w:rPr>
      </w:pPr>
    </w:p>
    <w:p w:rsidR="00A82B63" w:rsidRPr="00A82B63" w:rsidRDefault="00A82B63" w:rsidP="00270069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stosowania Kodeksu  postępowania administracyjnego. Zasady ogólne. Strona i osoby działające na prawach strony. Pełnomocnicy, przedstawiciel dla strony nieobecnej lub niezdolnej do czynności prawnych. Doręczenia. Wezwania. Terminy. Wszczęcie postępowania. Postępowanie dowodowe. Rozprawa. Zawieszenie postępowania. </w:t>
      </w:r>
    </w:p>
    <w:p w:rsidR="00A82B63" w:rsidRPr="00A82B63" w:rsidRDefault="00A82B63" w:rsidP="00270069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Decyzje. Decyzja a postanowienie. Ugoda administracyjna. Zaświadczenie. </w:t>
      </w:r>
    </w:p>
    <w:p w:rsidR="00A82B63" w:rsidRPr="00A82B63" w:rsidRDefault="00A82B63" w:rsidP="00270069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Odwołania. Samorządowe kolegia odwoławcze i inne organy wyższego stopnia. Zażalenia.</w:t>
      </w:r>
    </w:p>
    <w:p w:rsidR="00A82B63" w:rsidRDefault="00A82B63" w:rsidP="00270069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Wznowienie postępowania. Stwierdzenie nieważności decyzji i postanowień. Uchylenie i zmiana decyzji. </w:t>
      </w:r>
    </w:p>
    <w:p w:rsidR="00C60350" w:rsidRPr="00A82B63" w:rsidRDefault="00C60350" w:rsidP="00270069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63" w:rsidRPr="00A82B63" w:rsidRDefault="00A82B63" w:rsidP="00A82B63">
      <w:pPr>
        <w:keepNext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lastRenderedPageBreak/>
        <w:t>Udział prokuratora w postępowaniu administracyjnym i przed sądami administracyjnymi.</w:t>
      </w:r>
    </w:p>
    <w:p w:rsidR="00A82B63" w:rsidRPr="00A82B63" w:rsidRDefault="00A82B63" w:rsidP="00270069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udziału prokuratora w postępowaniu administracyjnym, </w:t>
      </w:r>
      <w:r w:rsidR="0027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sądowo-administracyjnym, podatkowym i postepowaniu egzekucyjnym, w tym także w poszczególnych trybach kontroli skarbowej. </w:t>
      </w:r>
    </w:p>
    <w:p w:rsidR="00A82B63" w:rsidRPr="00A82B63" w:rsidRDefault="00A82B63" w:rsidP="00270069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udziału:</w:t>
      </w:r>
    </w:p>
    <w:p w:rsidR="00A82B63" w:rsidRPr="00A82B63" w:rsidRDefault="00A82B63" w:rsidP="00270069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B63">
        <w:rPr>
          <w:rFonts w:ascii="Times New Roman" w:eastAsia="Calibri" w:hAnsi="Times New Roman" w:cs="Times New Roman"/>
          <w:sz w:val="24"/>
          <w:szCs w:val="24"/>
        </w:rPr>
        <w:t>żądanie wszczęcia postępowania,</w:t>
      </w:r>
    </w:p>
    <w:p w:rsidR="00A82B63" w:rsidRPr="00A82B63" w:rsidRDefault="00A82B63" w:rsidP="00270069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B63">
        <w:rPr>
          <w:rFonts w:ascii="Times New Roman" w:eastAsia="Calibri" w:hAnsi="Times New Roman" w:cs="Times New Roman"/>
          <w:sz w:val="24"/>
          <w:szCs w:val="24"/>
        </w:rPr>
        <w:t>zgłoszenie udziału,</w:t>
      </w:r>
    </w:p>
    <w:p w:rsidR="00A82B63" w:rsidRPr="00A82B63" w:rsidRDefault="00A82B63" w:rsidP="00270069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B63">
        <w:rPr>
          <w:rFonts w:ascii="Times New Roman" w:eastAsia="Calibri" w:hAnsi="Times New Roman" w:cs="Times New Roman"/>
          <w:sz w:val="24"/>
          <w:szCs w:val="24"/>
        </w:rPr>
        <w:t>wzruszenie rozstrzygnięć ostatecznych – sprzeciw, sprzeciw a odwoł</w:t>
      </w:r>
      <w:r w:rsidR="00B74532">
        <w:rPr>
          <w:rFonts w:ascii="Times New Roman" w:eastAsia="Calibri" w:hAnsi="Times New Roman" w:cs="Times New Roman"/>
          <w:sz w:val="24"/>
          <w:szCs w:val="24"/>
        </w:rPr>
        <w:t>anie, sprzeciw a skarga do WSA.</w:t>
      </w:r>
    </w:p>
    <w:p w:rsidR="00A82B63" w:rsidRPr="00A82B63" w:rsidRDefault="00A82B63" w:rsidP="00270069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Regulacje szczególne dotyczące udziału prokuratora w postępowaniu administracyjnym i w postępowaniu przed sądami administracyjnymi zawarte w przepisach Działu XII rozporządzenia Ministra Sprawiedliwości z dnia 7 kwietnia 2016 r. Regulamin wewnętrznego urzędowania powszechnych jednostek organizacyjnych prokuratury (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 1206 z </w:t>
      </w:r>
      <w:proofErr w:type="spellStart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A82B63" w:rsidRPr="00A82B63" w:rsidRDefault="00A82B63" w:rsidP="00A82B63">
      <w:pPr>
        <w:shd w:val="clear" w:color="auto" w:fill="FFFFFF"/>
        <w:spacing w:before="120" w:after="120" w:line="276" w:lineRule="auto"/>
        <w:ind w:left="24" w:firstLine="6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  <w:t>W związku z powyższym aplikanci powinni w trakcie praktyk nabyć</w:t>
      </w:r>
      <w:r w:rsidRPr="00A82B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umiejętności obejmujące:</w:t>
      </w:r>
    </w:p>
    <w:p w:rsidR="00A82B63" w:rsidRPr="00A82B63" w:rsidRDefault="00A82B63" w:rsidP="00A82B63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rejestrowanie spraw „Pa” poprzez zapoznanie się z urządzeniami rejestrowymi, sposobem dekretowania spraw, techniką wyłączania materiałów z postępowania karnego, zakładania akt nowej sprawy „Pa” i zasadami jej wykreślania z urządzeń ewidencyjnych jako sprawy zakończonej,</w:t>
      </w:r>
    </w:p>
    <w:p w:rsidR="00A82B63" w:rsidRPr="00A82B63" w:rsidRDefault="00B60A2C" w:rsidP="00A82B63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</w:t>
      </w:r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podejmowanych przez prokura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tora w reakcji na wniosek osób </w:t>
      </w:r>
      <w:r w:rsidR="00A82B63"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o podjęcie czynności w trybie postępowania administracyjnego lub sądowo-administracyjnego oraz w sprawach wyłączonych na odcinku „Pa” lub z prowadzonych bądź nadzorowanych spraw karnych,</w:t>
      </w:r>
    </w:p>
    <w:p w:rsidR="00A82B63" w:rsidRPr="00A82B63" w:rsidRDefault="00A82B63" w:rsidP="00A82B63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stosownych pism (z uwzględnieniem podstawy prawnej), kierowanych w takich sprawach do właściwych organów-instytucji, o nadesłanie dokumentów, które mogą być niezbędne do prawidłowego rozpoznania wniosku (np. pisma o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nadesłanie akt),</w:t>
      </w:r>
    </w:p>
    <w:p w:rsidR="00A82B63" w:rsidRPr="00A82B63" w:rsidRDefault="00A82B63" w:rsidP="00A82B63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- ocenę zgromadzonego w sprawie „Pa” materiału celem ustalenia, czy uzasadnia on konieczność podjęcia przez prokuratora w danej sprawie dalszych czynności, ich rodzaju oraz opracowanie projektu pisma prokuratora do właściwego organu administracji lub sądu bądź odpowiedzi do zainteresowanego o braku podstaw do czynności prokuratora w sprawie,</w:t>
      </w:r>
    </w:p>
    <w:p w:rsidR="00A82B63" w:rsidRPr="00A82B63" w:rsidRDefault="00A82B63" w:rsidP="00A82B63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sporządzanie wniosku o wszczęcie postępowania administracyjnego, </w:t>
      </w:r>
      <w:r w:rsidRPr="00A82B63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środków odwoławczych oraz sprzeciwów od decyzji ostatecznych.</w:t>
      </w:r>
    </w:p>
    <w:p w:rsidR="00A82B63" w:rsidRPr="00A82B63" w:rsidRDefault="00A82B63" w:rsidP="00A82B63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Nadto aplikanci w miarę możliwości 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winni uczestniczyć (również w charakterze protokolantów) w czynnościach przyjęcia do protokołu ustnych wyjaśnień oraz w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czynnościach przesłuchania świadków we wskazanej kategorii spraw.</w:t>
      </w:r>
    </w:p>
    <w:p w:rsidR="00A82B63" w:rsidRDefault="00A82B63" w:rsidP="0063319E">
      <w:pPr>
        <w:spacing w:before="120"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Uprzejmie informuję, że przedmiotem sprawdzianu po XX zjeździe</w:t>
      </w:r>
      <w:r w:rsidR="00B24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początku XXI zjazdu, tj. w dniu </w:t>
      </w:r>
      <w:r w:rsidR="00932CB9">
        <w:rPr>
          <w:rFonts w:ascii="Times New Roman" w:eastAsia="Times New Roman" w:hAnsi="Times New Roman" w:cs="Times New Roman"/>
          <w:sz w:val="24"/>
          <w:szCs w:val="24"/>
          <w:lang w:eastAsia="pl-PL"/>
        </w:rPr>
        <w:t>3 lutego 2020</w:t>
      </w:r>
      <w:r w:rsidR="00B24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sporządzenie projektu sprzeciwu od ostatecznej decyzji administracyjnej. Dlatego ważnym jest, aby aplikanci podczas praktyk opanowali tę umiejętność w jak najwyższym stopniu. Pożądane jest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aplikanci sporządzili projekty sprzeciwu w różnych kategoriach spraw, w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sprzeciwu zawierającego wniosek </w:t>
      </w:r>
      <w:r w:rsidR="00B24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o wznowienie postępowania, jak również sprzeciwu zawierającego żądanie stwierdzenia nieważności decyzji administracyjnej. W</w:t>
      </w:r>
      <w:r w:rsidR="007634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braku w jednostce odpowiednich spraw będących w toku </w:t>
      </w:r>
      <w:r w:rsidR="0055213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</w:t>
      </w:r>
      <w:r w:rsidRPr="00A82B63">
        <w:rPr>
          <w:rFonts w:ascii="Times New Roman" w:eastAsia="Times New Roman" w:hAnsi="Times New Roman" w:cs="Times New Roman"/>
          <w:sz w:val="24"/>
          <w:szCs w:val="24"/>
          <w:lang w:eastAsia="pl-PL"/>
        </w:rPr>
        <w:t>ane jest sięgnięcie do spraw uprzednio załatwionych.</w:t>
      </w:r>
    </w:p>
    <w:p w:rsidR="00270069" w:rsidRDefault="00270069" w:rsidP="00A82B63">
      <w:pPr>
        <w:spacing w:before="120"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</w:p>
    <w:bookmarkEnd w:id="0"/>
    <w:p w:rsidR="00270069" w:rsidRDefault="00270069" w:rsidP="00A82B63">
      <w:pPr>
        <w:spacing w:before="120"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069" w:rsidRPr="00A82B63" w:rsidRDefault="00270069" w:rsidP="00A82B63">
      <w:pPr>
        <w:spacing w:before="120"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63" w:rsidRPr="00A82B63" w:rsidRDefault="00A82B63" w:rsidP="00A82B63">
      <w:pPr>
        <w:spacing w:before="120"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2B63" w:rsidRPr="00401A19" w:rsidRDefault="00A82B63" w:rsidP="00A82B63">
      <w:pPr>
        <w:spacing w:after="0" w:line="276" w:lineRule="auto"/>
        <w:ind w:left="3540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01A19">
        <w:rPr>
          <w:rFonts w:ascii="Cambria" w:eastAsia="Times New Roman" w:hAnsi="Cambria" w:cs="Times New Roman"/>
          <w:sz w:val="20"/>
          <w:szCs w:val="20"/>
          <w:lang w:eastAsia="pl-PL"/>
        </w:rPr>
        <w:t>Kierownik Działu Dydaktycznego</w:t>
      </w:r>
      <w:r w:rsidRPr="00401A19">
        <w:rPr>
          <w:rFonts w:ascii="Cambria" w:eastAsia="Times New Roman" w:hAnsi="Cambria" w:cs="Times New Roman"/>
          <w:sz w:val="20"/>
          <w:szCs w:val="20"/>
          <w:lang w:eastAsia="pl-PL"/>
        </w:rPr>
        <w:br/>
        <w:t>w Ośrodku Aplikacji Prokuratorskiej</w:t>
      </w:r>
      <w:r w:rsidRPr="00401A19">
        <w:rPr>
          <w:rFonts w:ascii="Cambria" w:eastAsia="Times New Roman" w:hAnsi="Cambria" w:cs="Times New Roman"/>
          <w:sz w:val="20"/>
          <w:szCs w:val="20"/>
          <w:lang w:eastAsia="pl-PL"/>
        </w:rPr>
        <w:br/>
        <w:t>Krajowej Szkoły Sądownictwa i Prokuratury</w:t>
      </w:r>
    </w:p>
    <w:p w:rsidR="00A82B63" w:rsidRPr="00A82B63" w:rsidRDefault="00A82B63" w:rsidP="00A82B63">
      <w:pPr>
        <w:spacing w:after="0" w:line="276" w:lineRule="auto"/>
        <w:ind w:left="3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82B63" w:rsidRPr="00401A19" w:rsidRDefault="00436568" w:rsidP="00A82B63">
      <w:pPr>
        <w:spacing w:after="0" w:line="276" w:lineRule="auto"/>
        <w:ind w:left="3538"/>
        <w:jc w:val="center"/>
        <w:rPr>
          <w:rFonts w:ascii="Monotype Corsiva" w:eastAsia="Times New Roman" w:hAnsi="Monotype Corsiva" w:cs="Times New Roman"/>
          <w:i/>
          <w:sz w:val="28"/>
          <w:szCs w:val="28"/>
          <w:lang w:eastAsia="pl-PL"/>
        </w:rPr>
      </w:pPr>
      <w:r w:rsidRPr="00401A19">
        <w:rPr>
          <w:rFonts w:ascii="Monotype Corsiva" w:eastAsia="Times New Roman" w:hAnsi="Monotype Corsiva" w:cs="Times New Roman"/>
          <w:i/>
          <w:sz w:val="28"/>
          <w:szCs w:val="28"/>
          <w:lang w:eastAsia="pl-PL"/>
        </w:rPr>
        <w:t>Marta Zin</w:t>
      </w:r>
    </w:p>
    <w:p w:rsidR="00A82B63" w:rsidRPr="00270069" w:rsidRDefault="00270069" w:rsidP="00A82B63">
      <w:pPr>
        <w:spacing w:after="0" w:line="276" w:lineRule="auto"/>
        <w:ind w:left="3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0069">
        <w:rPr>
          <w:rFonts w:ascii="Times New Roman" w:eastAsia="Times New Roman" w:hAnsi="Times New Roman" w:cs="Times New Roman"/>
          <w:sz w:val="18"/>
          <w:szCs w:val="18"/>
          <w:lang w:eastAsia="pl-PL"/>
        </w:rPr>
        <w:t>Prokurator</w:t>
      </w:r>
      <w:r w:rsidR="00A82B63" w:rsidRPr="002700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A82B63" w:rsidRDefault="00A82B63"/>
    <w:sectPr w:rsidR="00A82B63" w:rsidSect="00C603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64" w:rsidRDefault="00AC7364">
      <w:pPr>
        <w:spacing w:after="0" w:line="240" w:lineRule="auto"/>
      </w:pPr>
      <w:r>
        <w:separator/>
      </w:r>
    </w:p>
  </w:endnote>
  <w:endnote w:type="continuationSeparator" w:id="0">
    <w:p w:rsidR="00AC7364" w:rsidRDefault="00AC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00892"/>
      <w:docPartObj>
        <w:docPartGallery w:val="Page Numbers (Bottom of Page)"/>
        <w:docPartUnique/>
      </w:docPartObj>
    </w:sdtPr>
    <w:sdtEndPr/>
    <w:sdtContent>
      <w:p w:rsidR="00B74532" w:rsidRDefault="00B745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A19">
          <w:rPr>
            <w:noProof/>
          </w:rPr>
          <w:t>3</w:t>
        </w:r>
        <w:r>
          <w:fldChar w:fldCharType="end"/>
        </w:r>
      </w:p>
    </w:sdtContent>
  </w:sdt>
  <w:p w:rsidR="00B74532" w:rsidRDefault="00B745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B74532" w:rsidTr="00C60350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B74532" w:rsidRPr="0074505E" w:rsidRDefault="00B74532" w:rsidP="00C60350">
          <w:pPr>
            <w:pStyle w:val="Stopka"/>
            <w:rPr>
              <w:sz w:val="4"/>
              <w:szCs w:val="4"/>
            </w:rPr>
          </w:pPr>
        </w:p>
      </w:tc>
    </w:tr>
  </w:tbl>
  <w:p w:rsidR="00B74532" w:rsidRPr="00A944C8" w:rsidRDefault="00401A19" w:rsidP="00C60350">
    <w:pPr>
      <w:pStyle w:val="Stopka"/>
      <w:rPr>
        <w:sz w:val="18"/>
        <w:szCs w:val="18"/>
      </w:rPr>
    </w:pPr>
    <w:r>
      <w:rPr>
        <w:sz w:val="18"/>
        <w:szCs w:val="18"/>
      </w:rPr>
      <w:tab/>
    </w:r>
    <w:r w:rsidR="00B74532" w:rsidRPr="00A944C8">
      <w:rPr>
        <w:sz w:val="18"/>
        <w:szCs w:val="18"/>
      </w:rPr>
      <w:t>Krajowa Szkoła Sądownictwa i Prokuratury</w:t>
    </w:r>
  </w:p>
  <w:p w:rsidR="00B74532" w:rsidRPr="00A944C8" w:rsidRDefault="00401A19" w:rsidP="00C60350">
    <w:pPr>
      <w:pStyle w:val="Stopka"/>
      <w:rPr>
        <w:sz w:val="18"/>
        <w:szCs w:val="18"/>
      </w:rPr>
    </w:pPr>
    <w:r>
      <w:rPr>
        <w:sz w:val="18"/>
        <w:szCs w:val="18"/>
      </w:rPr>
      <w:tab/>
    </w:r>
    <w:r w:rsidR="00B74532" w:rsidRPr="00A944C8">
      <w:rPr>
        <w:sz w:val="18"/>
        <w:szCs w:val="18"/>
      </w:rPr>
      <w:t>ul. Przy Rondzie 5, 31-547 Kraków</w:t>
    </w:r>
  </w:p>
  <w:p w:rsidR="00B74532" w:rsidRDefault="00B74532" w:rsidP="00C603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64" w:rsidRDefault="00AC7364">
      <w:pPr>
        <w:spacing w:after="0" w:line="240" w:lineRule="auto"/>
      </w:pPr>
      <w:r>
        <w:separator/>
      </w:r>
    </w:p>
  </w:footnote>
  <w:footnote w:type="continuationSeparator" w:id="0">
    <w:p w:rsidR="00AC7364" w:rsidRDefault="00AC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32" w:rsidRPr="009B38B3" w:rsidRDefault="00B74532" w:rsidP="00C60350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32" w:rsidRDefault="00B74532" w:rsidP="00C60350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</w:t>
    </w:r>
  </w:p>
  <w:p w:rsidR="00B74532" w:rsidRDefault="00B74532" w:rsidP="00C60350">
    <w:pPr>
      <w:pStyle w:val="Nagwek"/>
      <w:ind w:right="4959"/>
      <w:jc w:val="center"/>
      <w:rPr>
        <w:b/>
      </w:rPr>
    </w:pPr>
  </w:p>
  <w:p w:rsidR="00B74532" w:rsidRPr="009E7ADE" w:rsidRDefault="00B74532" w:rsidP="00C60350">
    <w:pPr>
      <w:pStyle w:val="Nagwek"/>
      <w:ind w:left="-851" w:right="5526"/>
      <w:jc w:val="center"/>
      <w:rPr>
        <w:b/>
        <w:sz w:val="8"/>
        <w:szCs w:val="8"/>
      </w:rPr>
    </w:pPr>
  </w:p>
  <w:p w:rsidR="00B74532" w:rsidRPr="00551ABF" w:rsidRDefault="00B74532" w:rsidP="00C60350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B74532" w:rsidRPr="00D021CB" w:rsidRDefault="00B74532" w:rsidP="00C60350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B74532" w:rsidRPr="004F17DC" w:rsidRDefault="00B74532" w:rsidP="00C60350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323"/>
    <w:multiLevelType w:val="hybridMultilevel"/>
    <w:tmpl w:val="23D05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0CA5"/>
    <w:multiLevelType w:val="hybridMultilevel"/>
    <w:tmpl w:val="B5BCA4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7695C"/>
    <w:multiLevelType w:val="hybridMultilevel"/>
    <w:tmpl w:val="7B9A1E38"/>
    <w:lvl w:ilvl="0" w:tplc="035063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63"/>
    <w:rsid w:val="00012BD2"/>
    <w:rsid w:val="00021979"/>
    <w:rsid w:val="00041AC6"/>
    <w:rsid w:val="0010458F"/>
    <w:rsid w:val="0018449C"/>
    <w:rsid w:val="001E49B9"/>
    <w:rsid w:val="00270069"/>
    <w:rsid w:val="002E0858"/>
    <w:rsid w:val="002E6C2C"/>
    <w:rsid w:val="0031457D"/>
    <w:rsid w:val="003D5C33"/>
    <w:rsid w:val="00401A19"/>
    <w:rsid w:val="00436568"/>
    <w:rsid w:val="0047023D"/>
    <w:rsid w:val="0047654D"/>
    <w:rsid w:val="004C67D5"/>
    <w:rsid w:val="00552132"/>
    <w:rsid w:val="005839B0"/>
    <w:rsid w:val="00585208"/>
    <w:rsid w:val="005C7C6F"/>
    <w:rsid w:val="0063319E"/>
    <w:rsid w:val="006C6AB0"/>
    <w:rsid w:val="007634F3"/>
    <w:rsid w:val="00764AD0"/>
    <w:rsid w:val="007766C6"/>
    <w:rsid w:val="00777E33"/>
    <w:rsid w:val="0082397F"/>
    <w:rsid w:val="008406C9"/>
    <w:rsid w:val="00873DC1"/>
    <w:rsid w:val="008C5D71"/>
    <w:rsid w:val="008D15A8"/>
    <w:rsid w:val="008E1751"/>
    <w:rsid w:val="00932CB9"/>
    <w:rsid w:val="00A82B63"/>
    <w:rsid w:val="00AC7364"/>
    <w:rsid w:val="00B00682"/>
    <w:rsid w:val="00B24693"/>
    <w:rsid w:val="00B57540"/>
    <w:rsid w:val="00B60A2C"/>
    <w:rsid w:val="00B60D32"/>
    <w:rsid w:val="00B74532"/>
    <w:rsid w:val="00C07199"/>
    <w:rsid w:val="00C60350"/>
    <w:rsid w:val="00D442E4"/>
    <w:rsid w:val="00D5304D"/>
    <w:rsid w:val="00D970BF"/>
    <w:rsid w:val="00E22842"/>
    <w:rsid w:val="00F7380B"/>
    <w:rsid w:val="00F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B63"/>
  </w:style>
  <w:style w:type="paragraph" w:styleId="Nagwek">
    <w:name w:val="header"/>
    <w:basedOn w:val="Normalny"/>
    <w:link w:val="NagwekZnak"/>
    <w:rsid w:val="00A82B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8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B63"/>
  </w:style>
  <w:style w:type="paragraph" w:styleId="Nagwek">
    <w:name w:val="header"/>
    <w:basedOn w:val="Normalny"/>
    <w:link w:val="NagwekZnak"/>
    <w:rsid w:val="00A82B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8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Jóźwik</dc:creator>
  <cp:lastModifiedBy>Marta Zin</cp:lastModifiedBy>
  <cp:revision>3</cp:revision>
  <cp:lastPrinted>2019-11-04T10:52:00Z</cp:lastPrinted>
  <dcterms:created xsi:type="dcterms:W3CDTF">2019-11-04T11:32:00Z</dcterms:created>
  <dcterms:modified xsi:type="dcterms:W3CDTF">2019-11-06T11:20:00Z</dcterms:modified>
</cp:coreProperties>
</file>