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4" w:rsidRPr="00326F73" w:rsidRDefault="007F38C4" w:rsidP="002D34F2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rPr>
          <w:b/>
        </w:rPr>
      </w:pPr>
      <w:r w:rsidRPr="00326F73">
        <w:rPr>
          <w:b/>
        </w:rPr>
        <w:t>OPINIA PATRONA PRAKTYKI WRAZ Z OCENĄ PRZEBIEGU PRAKTYKI</w:t>
      </w:r>
    </w:p>
    <w:p w:rsidR="007F38C4" w:rsidRDefault="007F38C4" w:rsidP="002D34F2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r>
        <w:t xml:space="preserve">dotycząca aplikanta </w:t>
      </w:r>
      <w:r w:rsidRPr="00326F73">
        <w:rPr>
          <w:b/>
          <w:color w:val="000000" w:themeColor="text1"/>
        </w:rPr>
        <w:t xml:space="preserve">XI rocznika </w:t>
      </w:r>
      <w:r w:rsidRPr="00326F73">
        <w:rPr>
          <w:b/>
        </w:rPr>
        <w:t>aplikacji sędziowskiej</w:t>
      </w:r>
      <w:r>
        <w:t xml:space="preserve"> </w:t>
      </w:r>
    </w:p>
    <w:p w:rsidR="007F38C4" w:rsidRDefault="007F38C4" w:rsidP="002D34F2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7F38C4" w:rsidRPr="00780F4E" w:rsidRDefault="007F38C4" w:rsidP="002D34F2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color w:val="000000" w:themeColor="text1"/>
          <w:sz w:val="16"/>
          <w:szCs w:val="16"/>
        </w:rPr>
      </w:pPr>
      <w:r w:rsidRPr="00780F4E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7F38C4" w:rsidRPr="00780F4E" w:rsidRDefault="007F38C4" w:rsidP="002D34F2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color w:val="000000" w:themeColor="text1"/>
          <w:sz w:val="16"/>
          <w:szCs w:val="16"/>
        </w:rPr>
      </w:pPr>
      <w:r w:rsidRPr="00780F4E">
        <w:rPr>
          <w:i/>
          <w:color w:val="000000" w:themeColor="text1"/>
          <w:sz w:val="16"/>
          <w:szCs w:val="16"/>
        </w:rPr>
        <w:t>(imię i nazwisko aplikanta)</w:t>
      </w:r>
    </w:p>
    <w:p w:rsidR="007F38C4" w:rsidRDefault="007F38C4" w:rsidP="002D34F2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326F73" w:rsidRDefault="007F38C4" w:rsidP="002D34F2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780F4E">
        <w:rPr>
          <w:color w:val="000000" w:themeColor="text1"/>
        </w:rPr>
        <w:t xml:space="preserve">po </w:t>
      </w:r>
      <w:r w:rsidRPr="00326F73">
        <w:rPr>
          <w:b/>
          <w:color w:val="000000" w:themeColor="text1"/>
        </w:rPr>
        <w:t>XV zjeździe</w:t>
      </w:r>
      <w:r w:rsidRPr="00780F4E">
        <w:rPr>
          <w:color w:val="000000" w:themeColor="text1"/>
        </w:rPr>
        <w:t xml:space="preserve"> za okres praktyki od </w:t>
      </w:r>
      <w:r w:rsidRPr="007F38C4">
        <w:rPr>
          <w:b/>
        </w:rPr>
        <w:t>14.06.2021 r. do 2.07.2021 r.</w:t>
      </w:r>
      <w:r w:rsidRPr="006C1E51">
        <w:t xml:space="preserve"> </w:t>
      </w:r>
    </w:p>
    <w:p w:rsidR="007F38C4" w:rsidRDefault="007F38C4" w:rsidP="002D34F2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780F4E">
        <w:rPr>
          <w:color w:val="000000" w:themeColor="text1"/>
        </w:rPr>
        <w:t>w Sądzie Rejonowym</w:t>
      </w:r>
      <w:r>
        <w:tab/>
      </w:r>
    </w:p>
    <w:p w:rsidR="007F38C4" w:rsidRDefault="007F38C4" w:rsidP="002D34F2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:rsidR="007F38C4" w:rsidRDefault="007F38C4" w:rsidP="002D34F2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dniu</w:t>
      </w:r>
      <w:r>
        <w:tab/>
      </w:r>
    </w:p>
    <w:p w:rsidR="00881C4E" w:rsidRDefault="00881C4E" w:rsidP="002D34F2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</w:p>
    <w:p w:rsidR="00881C4E" w:rsidRDefault="00881C4E" w:rsidP="002D34F2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</w:p>
    <w:p w:rsidR="007F38C4" w:rsidRPr="00A20900" w:rsidRDefault="007F38C4" w:rsidP="002D34F2">
      <w:pPr>
        <w:pStyle w:val="Nagwek40"/>
        <w:keepNext/>
        <w:keepLines/>
        <w:shd w:val="clear" w:color="auto" w:fill="auto"/>
        <w:spacing w:before="0" w:after="0" w:line="220" w:lineRule="exact"/>
        <w:ind w:left="20"/>
        <w:rPr>
          <w:b/>
        </w:rPr>
      </w:pPr>
      <w:bookmarkStart w:id="0" w:name="bookmark6"/>
      <w:r w:rsidRPr="00A20900">
        <w:rPr>
          <w:b/>
        </w:rPr>
        <w:t>Przebieg praktyki:</w:t>
      </w:r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827"/>
        <w:gridCol w:w="977"/>
        <w:gridCol w:w="3877"/>
      </w:tblGrid>
      <w:tr w:rsidR="007F38C4" w:rsidTr="00917395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7F38C4" w:rsidTr="007F38C4">
        <w:trPr>
          <w:trHeight w:val="31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7F38C4" w:rsidTr="007F38C4">
        <w:trPr>
          <w:trHeight w:val="3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CB5CD2">
              <w:t>Zapozn</w:t>
            </w:r>
            <w:r>
              <w:t>aw</w:t>
            </w:r>
            <w:r w:rsidRPr="00CB5CD2">
              <w:t xml:space="preserve">anie się z czynnościami wykonywanymi przez przewodniczącego </w:t>
            </w:r>
            <w:r>
              <w:t xml:space="preserve">(sędziego referenta) po skutecznym wniesieniu pozwu w sprawach, w których </w:t>
            </w:r>
            <w:r w:rsidRPr="007F38C4">
              <w:rPr>
                <w:b/>
              </w:rPr>
              <w:t>zgłoszone roszczenia wynikają z umów</w:t>
            </w:r>
            <w:r>
              <w:t xml:space="preserve">, w tym zwłaszcza: </w:t>
            </w:r>
          </w:p>
          <w:p w:rsidR="007F38C4" w:rsidRDefault="007F38C4" w:rsidP="002D34F2">
            <w:pPr>
              <w:pStyle w:val="Teksttreci60"/>
              <w:numPr>
                <w:ilvl w:val="0"/>
                <w:numId w:val="15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hanging="236"/>
            </w:pPr>
            <w:r>
              <w:t xml:space="preserve">z umów o dzieło, umów zlecenia, umów o świadczenie usług np. umowa o usługi turystyczne, </w:t>
            </w:r>
          </w:p>
          <w:p w:rsidR="007F38C4" w:rsidRPr="00D05037" w:rsidRDefault="007F38C4" w:rsidP="002D34F2">
            <w:pPr>
              <w:pStyle w:val="Teksttreci60"/>
              <w:numPr>
                <w:ilvl w:val="0"/>
                <w:numId w:val="15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hanging="236"/>
            </w:pPr>
            <w:r w:rsidRPr="00D05037">
              <w:t>odstąpienia od umowy</w:t>
            </w:r>
            <w:r>
              <w:t>,</w:t>
            </w:r>
            <w:r w:rsidRPr="00D05037">
              <w:t xml:space="preserve">  </w:t>
            </w:r>
          </w:p>
          <w:p w:rsidR="007F38C4" w:rsidRPr="00780F4E" w:rsidRDefault="00326F73" w:rsidP="002D34F2">
            <w:pPr>
              <w:pStyle w:val="Teksttreci60"/>
              <w:numPr>
                <w:ilvl w:val="0"/>
                <w:numId w:val="15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hanging="236"/>
              <w:rPr>
                <w:strike/>
              </w:rPr>
            </w:pPr>
            <w:r>
              <w:t>kary umownej.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182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25979" w:rsidRDefault="007F38C4" w:rsidP="002D34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5979">
              <w:rPr>
                <w:rFonts w:ascii="Times New Roman" w:hAnsi="Times New Roman"/>
                <w:sz w:val="23"/>
                <w:szCs w:val="23"/>
              </w:rPr>
              <w:t>Zapozna</w:t>
            </w:r>
            <w:r>
              <w:rPr>
                <w:rFonts w:ascii="Times New Roman" w:hAnsi="Times New Roman"/>
                <w:sz w:val="23"/>
                <w:szCs w:val="23"/>
              </w:rPr>
              <w:t>wa</w:t>
            </w:r>
            <w:r w:rsidRPr="00625979">
              <w:rPr>
                <w:rFonts w:ascii="Times New Roman" w:hAnsi="Times New Roman"/>
                <w:sz w:val="23"/>
                <w:szCs w:val="23"/>
              </w:rPr>
              <w:t>nie się ze sprawami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z w/w tematyki</w:t>
            </w:r>
            <w:r w:rsidRPr="0062597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w których wpłynęła odpowiedź na pozew, zapoznawanie się z czynnościami podejmowanymi w tych sprawach przez przewodniczącego (sędziego referenta) po</w:t>
            </w:r>
            <w:r w:rsidR="00326F73">
              <w:rPr>
                <w:rFonts w:ascii="Times New Roman" w:hAnsi="Times New Roman"/>
                <w:sz w:val="23"/>
                <w:szCs w:val="23"/>
              </w:rPr>
              <w:t xml:space="preserve"> wpłynięciu odpowiedzi na pozew.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134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CB5CD2" w:rsidRDefault="007F38C4" w:rsidP="002D34F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Zapoznawanie się ze sprawami z w/w tematyki, w których zgłoszono zarzuty procesowe, w tym zwłaszcza zarzut potrącenia i czynnościami podejmowanymi w tym zakresie;</w:t>
            </w:r>
            <w:r w:rsidR="00326F73"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2125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Zapoznawanie się z aktami spraw z w/w tematyki, w których :</w:t>
            </w:r>
          </w:p>
          <w:p w:rsidR="007F38C4" w:rsidRDefault="007F38C4" w:rsidP="002D34F2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975"/>
            </w:pPr>
            <w:r>
              <w:t>doszło do cofnięcia pozwu, zrzeczenia się roszczenia i  podejmowanymi w związku z tym decyzjami procesowymi,</w:t>
            </w:r>
          </w:p>
          <w:p w:rsidR="007F38C4" w:rsidRDefault="007F38C4" w:rsidP="002D34F2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975"/>
            </w:pPr>
            <w:r>
              <w:t>doszło do uznania powództwa,</w:t>
            </w:r>
          </w:p>
          <w:p w:rsidR="007F38C4" w:rsidRDefault="00326F73" w:rsidP="002D34F2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975"/>
            </w:pPr>
            <w:r>
              <w:t>zgłoszono powództwo wzajemne.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13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CB5CD2" w:rsidRDefault="007F38C4" w:rsidP="002D34F2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40" w:lineRule="auto"/>
            </w:pPr>
            <w:r>
              <w:lastRenderedPageBreak/>
              <w:t>Zapoznanie się z zasadami organizacji postępowania - posiedzenie przygotowawcze i plan rozpra</w:t>
            </w:r>
            <w:r w:rsidR="00326F73">
              <w:t>wy – art. 205</w:t>
            </w:r>
            <w:r w:rsidR="00326F73">
              <w:rPr>
                <w:vertAlign w:val="superscript"/>
              </w:rPr>
              <w:t>1</w:t>
            </w:r>
            <w:r w:rsidR="00326F73">
              <w:t xml:space="preserve"> i nast. k.p.c.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13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40" w:lineRule="auto"/>
            </w:pPr>
            <w:r w:rsidRPr="00CB5CD2">
              <w:t>Zapozna</w:t>
            </w:r>
            <w:r>
              <w:t>wa</w:t>
            </w:r>
            <w:r w:rsidRPr="00CB5CD2">
              <w:t xml:space="preserve">nie się z </w:t>
            </w:r>
            <w:r w:rsidR="002D2C3E">
              <w:t>rozstrzygnięciami w </w:t>
            </w:r>
            <w:r>
              <w:t xml:space="preserve">sprawach z w/w tematyki, w tym wyrokami w tych sprawach, postanowieniami </w:t>
            </w:r>
            <w:proofErr w:type="spellStart"/>
            <w:r>
              <w:t>niemerytor</w:t>
            </w:r>
            <w:r w:rsidR="00326F73">
              <w:t>ycznymi</w:t>
            </w:r>
            <w:proofErr w:type="spellEnd"/>
            <w:r w:rsidR="00326F73">
              <w:t xml:space="preserve"> kończącymi postępowanie.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194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CB5CD2" w:rsidRDefault="007F38C4" w:rsidP="002D34F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Zapoznawanie się ze sprawami z w/w tematyki, w których zachodziła konieczność doręczenia pism procesowych lub sądowych w obrocie międzynarodowym w ramach UE i poza UE, w tym z doręczeniami dokonywanymi przez pocztę, doręczeniami dokonywanymi w oparciu o rozporządzenia unijne, doręczeniami dokonywanymi przez konsulat, doręczeniami dokonywanymi wg</w:t>
            </w:r>
            <w:r w:rsidR="00326F73">
              <w:t>.</w:t>
            </w:r>
            <w:r>
              <w:t xml:space="preserve"> konwencji haskiej i umów dwustronnych</w:t>
            </w:r>
            <w:r w:rsidR="00326F73">
              <w:t>.</w:t>
            </w:r>
            <w: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66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CB5CD2" w:rsidRDefault="007F38C4" w:rsidP="002D34F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6C2F19">
              <w:t>Sporządzanie projektów następujących decyzji procesowych: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2D34F2">
        <w:trPr>
          <w:trHeight w:val="61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numPr>
                <w:ilvl w:val="0"/>
                <w:numId w:val="14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6C2F19">
              <w:t xml:space="preserve">Zarządzenia </w:t>
            </w:r>
            <w:r>
              <w:t>na po</w:t>
            </w:r>
            <w:r w:rsidR="00326F73">
              <w:t>d</w:t>
            </w:r>
            <w:r>
              <w:t>st. art. 208</w:t>
            </w:r>
            <w:r w:rsidR="002D34F2">
              <w:t xml:space="preserve"> </w:t>
            </w:r>
            <w:r>
              <w:t>k.p.c. w sprawach z w/w tematyki;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2D34F2">
        <w:trPr>
          <w:trHeight w:val="83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numPr>
                <w:ilvl w:val="0"/>
                <w:numId w:val="14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Zarządzenia dowodowego wydawanego przed rozpoczęciem rozprawy: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2D34F2">
        <w:trPr>
          <w:trHeight w:val="5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326F73">
            <w:pPr>
              <w:pStyle w:val="Teksttreci60"/>
              <w:numPr>
                <w:ilvl w:val="0"/>
                <w:numId w:val="14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Postanowień w trybie art. 205</w:t>
            </w:r>
            <w:r w:rsidR="00326F73">
              <w:rPr>
                <w:vertAlign w:val="superscript"/>
              </w:rPr>
              <w:t>9</w:t>
            </w:r>
            <w:r>
              <w:t xml:space="preserve"> i 205</w:t>
            </w:r>
            <w:r w:rsidR="00326F73">
              <w:rPr>
                <w:vertAlign w:val="superscript"/>
              </w:rPr>
              <w:t>11</w:t>
            </w:r>
            <w:r>
              <w:t xml:space="preserve"> </w:t>
            </w:r>
            <w:proofErr w:type="spellStart"/>
            <w:r>
              <w:t>kpc</w:t>
            </w:r>
            <w:proofErr w:type="spellEnd"/>
            <w:r>
              <w:t>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2D34F2">
        <w:trPr>
          <w:trHeight w:val="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numPr>
                <w:ilvl w:val="0"/>
                <w:numId w:val="14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Decyzji procesowej po wpłynięciu odpowiedzi na pozew;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2D34F2">
        <w:trPr>
          <w:trHeight w:val="1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numPr>
                <w:ilvl w:val="0"/>
                <w:numId w:val="14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Decyzji procesowej w przedmiocie pominięcia spóźnionych twierdzeń</w:t>
            </w:r>
            <w:r w:rsidR="00881C4E">
              <w:t xml:space="preserve"> i </w:t>
            </w:r>
            <w:r>
              <w:t>dowodów oraz zgody na złożenie pisma przygotowawczego;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2D34F2">
        <w:trPr>
          <w:trHeight w:val="5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numPr>
                <w:ilvl w:val="0"/>
                <w:numId w:val="14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6C2F19">
              <w:t xml:space="preserve">Decyzji </w:t>
            </w:r>
            <w:r>
              <w:t>rozstrzygającej zgłoszone zarzuty procesowe i materialne;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9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881C4E">
            <w:pPr>
              <w:pStyle w:val="Teksttreci60"/>
              <w:numPr>
                <w:ilvl w:val="0"/>
                <w:numId w:val="14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  <w:r>
              <w:t>Postanowienia o umorzeniu postępowania na skutek cofnięcia pozwu w różnych wariantach (przed rozpoczęciem rozprawy, po rozpoczęciu rozprawy, bez zrzeczenia się roszczenia, ze zrz</w:t>
            </w:r>
            <w:r w:rsidR="00881C4E">
              <w:t>eczeniem się roszczenia) wraz z </w:t>
            </w:r>
            <w:r>
              <w:t>rozstrzygnięciem co do kosztów postępowania i zarządzeniami wykonawczymi;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numPr>
                <w:ilvl w:val="0"/>
                <w:numId w:val="14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Postanowienia rozstrzygającego wniosek o zawieszenie </w:t>
            </w:r>
            <w:r w:rsidR="002D34F2">
              <w:t>postępowania z różnych przyczyn</w:t>
            </w:r>
            <w:r>
              <w:t xml:space="preserve"> </w:t>
            </w:r>
            <w:r w:rsidR="002D34F2">
              <w:t>z</w:t>
            </w:r>
            <w:r w:rsidR="00881C4E">
              <w:t> </w:t>
            </w:r>
            <w:r>
              <w:t>zarządzeniami wykonawczymi;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881C4E">
            <w:pPr>
              <w:pStyle w:val="Teksttreci60"/>
              <w:numPr>
                <w:ilvl w:val="0"/>
                <w:numId w:val="14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501"/>
            </w:pPr>
            <w:r>
              <w:t xml:space="preserve">Postanowienia oddalającego zarzuty, których uwzględnienie uzasadniałoby odrzucenie pozwu </w:t>
            </w:r>
            <w:r w:rsidR="002D34F2">
              <w:t>z</w:t>
            </w:r>
            <w:r w:rsidR="00881C4E">
              <w:t> </w:t>
            </w:r>
            <w:r>
              <w:t>zarządzeniami wykonawczymi</w:t>
            </w:r>
            <w:r>
              <w:rPr>
                <w:lang w:val="pl"/>
              </w:rPr>
              <w:t>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2D34F2">
        <w:trPr>
          <w:trHeight w:val="5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numPr>
                <w:ilvl w:val="0"/>
                <w:numId w:val="14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  <w:rPr>
                <w:lang w:val="pl"/>
              </w:rPr>
            </w:pPr>
            <w:r>
              <w:t>Wyroku w sprawach z w/w tematyki;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A92540" w:rsidRDefault="007F38C4" w:rsidP="002D34F2">
            <w:pPr>
              <w:pStyle w:val="Akapitzlist"/>
              <w:numPr>
                <w:ilvl w:val="0"/>
                <w:numId w:val="14"/>
              </w:numPr>
              <w:overflowPunct w:val="0"/>
              <w:spacing w:after="0"/>
              <w:ind w:hanging="357"/>
              <w:rPr>
                <w:sz w:val="23"/>
                <w:szCs w:val="23"/>
              </w:rPr>
            </w:pPr>
            <w:r w:rsidRPr="00A92540">
              <w:rPr>
                <w:rFonts w:ascii="Times New Roman" w:hAnsi="Times New Roman"/>
                <w:sz w:val="23"/>
                <w:szCs w:val="23"/>
              </w:rPr>
              <w:t xml:space="preserve">Odezwy o udzielenie pomocy sądowej wg.: </w:t>
            </w:r>
          </w:p>
          <w:p w:rsidR="007F38C4" w:rsidRPr="00623253" w:rsidRDefault="007F38C4" w:rsidP="002D34F2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975" w:hanging="357"/>
            </w:pPr>
            <w:r>
              <w:t>rozporządzeń UE</w:t>
            </w:r>
            <w:r w:rsidR="00326F73">
              <w:t>,</w:t>
            </w:r>
          </w:p>
          <w:p w:rsidR="007F38C4" w:rsidRPr="00623253" w:rsidRDefault="007F38C4" w:rsidP="002D34F2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975" w:hanging="357"/>
            </w:pPr>
            <w:r w:rsidRPr="00623253">
              <w:t>konwencji haskiej</w:t>
            </w:r>
            <w:r w:rsidR="00326F73">
              <w:t>,</w:t>
            </w:r>
            <w:r w:rsidRPr="00623253">
              <w:t xml:space="preserve"> </w:t>
            </w:r>
          </w:p>
          <w:p w:rsidR="007F38C4" w:rsidRDefault="007F38C4" w:rsidP="002D34F2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975" w:hanging="357"/>
            </w:pPr>
            <w:r w:rsidRPr="00623253">
              <w:t xml:space="preserve">jednej z umów dwustronnych </w:t>
            </w:r>
          </w:p>
          <w:p w:rsidR="007F38C4" w:rsidRPr="00A92540" w:rsidRDefault="007F38C4" w:rsidP="002D34F2">
            <w:pPr>
              <w:pStyle w:val="Teksttreci60"/>
              <w:numPr>
                <w:ilvl w:val="0"/>
                <w:numId w:val="17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975" w:hanging="357"/>
            </w:pPr>
            <w:r w:rsidRPr="00623253">
              <w:t>skierowanej do konsulatu RP za granicą</w:t>
            </w:r>
            <w:r>
              <w:t>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2D34F2">
        <w:trPr>
          <w:trHeight w:val="673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6C2F19" w:rsidRDefault="007F38C4" w:rsidP="002D34F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lang w:val="pl"/>
              </w:rPr>
            </w:pPr>
            <w:r w:rsidRPr="006C2F19">
              <w:t>Sporządzanie projekt</w:t>
            </w:r>
            <w:r>
              <w:t>ów uzasadni</w:t>
            </w:r>
            <w:r w:rsidR="00326F73">
              <w:t>eń orzeczeń z pkt. 8 f, g, h, i,</w:t>
            </w:r>
            <w:bookmarkStart w:id="1" w:name="_GoBack"/>
            <w:bookmarkEnd w:id="1"/>
            <w:r w:rsidR="002D34F2">
              <w:t xml:space="preserve"> j.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881C4E">
        <w:trPr>
          <w:trHeight w:val="271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7F38C4" w:rsidTr="002D34F2">
        <w:trPr>
          <w:trHeight w:val="985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2D2C3E" w:rsidP="00927DE7">
            <w:pPr>
              <w:pStyle w:val="Teksttreci60"/>
              <w:numPr>
                <w:ilvl w:val="0"/>
                <w:numId w:val="18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>
              <w:t>Zapoznawanie się aktami spraw z </w:t>
            </w:r>
            <w:r w:rsidR="007F38C4" w:rsidRPr="00D05037">
              <w:t>tematyki odpowiedzialności odszkodowawczej za niewykonanie lub nienależyte wykonanie zobowiązania</w:t>
            </w:r>
            <w:r w:rsidR="007F38C4">
              <w:t>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2D34F2">
        <w:trPr>
          <w:trHeight w:val="1469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F35204" w:rsidRDefault="007F38C4" w:rsidP="002D2C3E">
            <w:pPr>
              <w:pStyle w:val="Teksttreci60"/>
              <w:numPr>
                <w:ilvl w:val="0"/>
                <w:numId w:val="18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>
              <w:t>Z</w:t>
            </w:r>
            <w:r w:rsidR="002D2C3E">
              <w:t>apoznanie się z aktami spraw, w </w:t>
            </w:r>
            <w:r w:rsidRPr="00D05037">
              <w:t>których rozważane było przyczynienie się poszkodowanego do powstania szkody – o ile to możliwe – na tle odpowiedzialności kontraktowej</w:t>
            </w:r>
            <w:r>
              <w:t>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Pr="00F35204" w:rsidRDefault="007F38C4" w:rsidP="00927DE7">
            <w:pPr>
              <w:pStyle w:val="Teksttreci60"/>
              <w:numPr>
                <w:ilvl w:val="0"/>
                <w:numId w:val="18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F91A38">
              <w:t>Zapoznawanie się z</w:t>
            </w:r>
            <w:r w:rsidR="002D2C3E">
              <w:t xml:space="preserve"> aktami spraw, w których roszczenie wynika z </w:t>
            </w:r>
            <w:r>
              <w:t xml:space="preserve">instytucji </w:t>
            </w:r>
            <w:r w:rsidRPr="00F91A38">
              <w:t>zadatku</w:t>
            </w:r>
            <w:r>
              <w:t>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  <w:tr w:rsidR="007F38C4" w:rsidTr="007F38C4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2D2C3E" w:rsidP="00927DE7">
            <w:pPr>
              <w:pStyle w:val="Teksttreci60"/>
              <w:numPr>
                <w:ilvl w:val="0"/>
                <w:numId w:val="18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</w:t>
            </w:r>
            <w:r w:rsidR="007F38C4">
              <w:t>o uznania patrona praktyki</w:t>
            </w:r>
            <w:r w:rsidR="00927DE7">
              <w:t>.</w:t>
            </w:r>
          </w:p>
          <w:p w:rsidR="00326F73" w:rsidRDefault="00326F73" w:rsidP="00326F7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72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8C4" w:rsidRDefault="007F38C4" w:rsidP="002D34F2">
            <w:pPr>
              <w:rPr>
                <w:sz w:val="10"/>
                <w:szCs w:val="10"/>
              </w:rPr>
            </w:pPr>
          </w:p>
        </w:tc>
      </w:tr>
    </w:tbl>
    <w:p w:rsidR="007F38C4" w:rsidRDefault="007F38C4" w:rsidP="002D34F2">
      <w:pPr>
        <w:rPr>
          <w:sz w:val="2"/>
          <w:szCs w:val="2"/>
        </w:rPr>
      </w:pPr>
    </w:p>
    <w:p w:rsidR="007F38C4" w:rsidRDefault="007F38C4" w:rsidP="002D34F2">
      <w:pPr>
        <w:pStyle w:val="Teksttreci80"/>
        <w:shd w:val="clear" w:color="auto" w:fill="auto"/>
        <w:spacing w:before="0" w:after="0" w:line="230" w:lineRule="exact"/>
        <w:ind w:left="20"/>
      </w:pPr>
      <w:r>
        <w:t xml:space="preserve">* </w:t>
      </w:r>
      <w:r w:rsidRPr="00927DE7">
        <w:rPr>
          <w:sz w:val="20"/>
          <w:szCs w:val="20"/>
        </w:rPr>
        <w:t>wypełnia Krajowa Szkoła Sądownictwa i Prokuratury</w:t>
      </w:r>
    </w:p>
    <w:p w:rsidR="007F38C4" w:rsidRDefault="007F38C4" w:rsidP="002D34F2">
      <w:pPr>
        <w:pStyle w:val="Teksttreci80"/>
        <w:shd w:val="clear" w:color="auto" w:fill="auto"/>
        <w:spacing w:before="0" w:after="0" w:line="230" w:lineRule="exact"/>
        <w:ind w:left="20"/>
        <w:rPr>
          <w:lang w:val="pl"/>
        </w:rPr>
      </w:pPr>
    </w:p>
    <w:p w:rsidR="00927DE7" w:rsidRDefault="00927DE7" w:rsidP="002D34F2">
      <w:pPr>
        <w:pStyle w:val="Teksttreci80"/>
        <w:shd w:val="clear" w:color="auto" w:fill="auto"/>
        <w:spacing w:before="0" w:after="0" w:line="230" w:lineRule="exact"/>
        <w:ind w:left="20"/>
        <w:rPr>
          <w:lang w:val="pl"/>
        </w:rPr>
      </w:pPr>
    </w:p>
    <w:p w:rsidR="00927DE7" w:rsidRPr="00A20900" w:rsidRDefault="00927DE7" w:rsidP="00927DE7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:rsidR="00927DE7" w:rsidRDefault="00927DE7" w:rsidP="00927DE7">
      <w:pPr>
        <w:pStyle w:val="Teksttreci80"/>
        <w:shd w:val="clear" w:color="auto" w:fill="auto"/>
        <w:spacing w:before="0" w:after="403" w:line="274" w:lineRule="exact"/>
        <w:ind w:left="20" w:right="600"/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2D34F2" w:rsidRDefault="002D34F2" w:rsidP="002D34F2">
      <w:pPr>
        <w:pStyle w:val="Teksttreci80"/>
        <w:shd w:val="clear" w:color="auto" w:fill="auto"/>
        <w:spacing w:before="0" w:after="0" w:line="230" w:lineRule="exact"/>
        <w:ind w:left="20"/>
        <w:rPr>
          <w:lang w:val="pl"/>
        </w:rPr>
      </w:pPr>
    </w:p>
    <w:p w:rsidR="002D34F2" w:rsidRPr="00C045D7" w:rsidRDefault="002D34F2" w:rsidP="002D34F2">
      <w:pPr>
        <w:pStyle w:val="Nagwek40"/>
        <w:keepNext/>
        <w:keepLines/>
        <w:shd w:val="clear" w:color="auto" w:fill="auto"/>
        <w:spacing w:before="0" w:after="205" w:line="240" w:lineRule="auto"/>
        <w:ind w:left="3540"/>
        <w:jc w:val="left"/>
        <w:rPr>
          <w:b/>
          <w:sz w:val="23"/>
          <w:szCs w:val="23"/>
        </w:rPr>
      </w:pPr>
      <w:bookmarkStart w:id="3" w:name="bookmark8"/>
      <w:r w:rsidRPr="00C045D7">
        <w:rPr>
          <w:b/>
          <w:sz w:val="23"/>
          <w:szCs w:val="23"/>
        </w:rPr>
        <w:t>Uzasadnienie oceny</w:t>
      </w:r>
      <w:bookmarkEnd w:id="3"/>
    </w:p>
    <w:p w:rsidR="002D34F2" w:rsidRPr="00C045D7" w:rsidRDefault="002D34F2" w:rsidP="002D34F2">
      <w:pPr>
        <w:pStyle w:val="Teksttreci60"/>
        <w:shd w:val="clear" w:color="auto" w:fill="auto"/>
        <w:spacing w:line="240" w:lineRule="auto"/>
        <w:ind w:left="20" w:right="600"/>
        <w:jc w:val="both"/>
      </w:pPr>
      <w:r w:rsidRPr="00C045D7">
        <w:t>Posiadany przez aplikanta zasób wiedzy z dziedziny prawa objętej praktyką, w tym znajomość przepisów prawa, orzecznictwa, poglądów doktryny oraz umiejętność interpretacji przepisów prawa</w:t>
      </w:r>
    </w:p>
    <w:p w:rsidR="002D34F2" w:rsidRPr="00C045D7" w:rsidRDefault="002D34F2" w:rsidP="002D34F2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………………………………………………………………………………………………………</w:t>
      </w:r>
    </w:p>
    <w:p w:rsidR="002D34F2" w:rsidRPr="00C045D7" w:rsidRDefault="002D34F2" w:rsidP="002D34F2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2D34F2" w:rsidRDefault="002D34F2" w:rsidP="002D34F2">
      <w:pPr>
        <w:pStyle w:val="Teksttreci80"/>
        <w:shd w:val="clear" w:color="auto" w:fill="auto"/>
        <w:spacing w:before="0" w:after="0" w:line="240" w:lineRule="auto"/>
        <w:ind w:right="20"/>
        <w:rPr>
          <w:rStyle w:val="Teksttreci8Bezkursywy"/>
          <w:i w:val="0"/>
        </w:rPr>
      </w:pPr>
    </w:p>
    <w:p w:rsidR="002D34F2" w:rsidRPr="00C045D7" w:rsidRDefault="002D34F2" w:rsidP="002D34F2">
      <w:pPr>
        <w:pStyle w:val="Teksttreci80"/>
        <w:shd w:val="clear" w:color="auto" w:fill="auto"/>
        <w:spacing w:before="0" w:after="0" w:line="240" w:lineRule="auto"/>
        <w:ind w:right="20"/>
        <w:rPr>
          <w:i/>
        </w:rPr>
      </w:pPr>
      <w:r w:rsidRPr="00C045D7">
        <w:rPr>
          <w:rStyle w:val="Teksttreci8Bezkursywy"/>
          <w:i w:val="0"/>
        </w:rPr>
        <w:lastRenderedPageBreak/>
        <w:t>Umiejętność wykorzystania zdobytej wiedzy prawniczej w praktyce</w:t>
      </w:r>
      <w:r w:rsidRPr="00C045D7">
        <w:t xml:space="preserve"> </w:t>
      </w:r>
      <w:r w:rsidRPr="00C045D7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2D34F2" w:rsidRPr="00C045D7" w:rsidRDefault="002D34F2" w:rsidP="002D34F2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………………………………………………………………………………………………………</w:t>
      </w:r>
    </w:p>
    <w:p w:rsidR="002D34F2" w:rsidRPr="00C045D7" w:rsidRDefault="002D34F2" w:rsidP="002D34F2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2D34F2" w:rsidRPr="00C045D7" w:rsidRDefault="002D34F2" w:rsidP="002D34F2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2D34F2" w:rsidRPr="00C045D7" w:rsidRDefault="002D34F2" w:rsidP="002D34F2">
      <w:pPr>
        <w:pStyle w:val="Teksttreci60"/>
        <w:shd w:val="clear" w:color="auto" w:fill="auto"/>
        <w:spacing w:line="240" w:lineRule="auto"/>
        <w:ind w:left="40"/>
        <w:jc w:val="both"/>
      </w:pPr>
      <w:r w:rsidRPr="00C045D7">
        <w:t>Postawa aplikanta w trakcie aplikacji</w:t>
      </w:r>
    </w:p>
    <w:p w:rsidR="002D34F2" w:rsidRPr="00C045D7" w:rsidRDefault="002D34F2" w:rsidP="002D34F2">
      <w:pPr>
        <w:pStyle w:val="Teksttreci80"/>
        <w:shd w:val="clear" w:color="auto" w:fill="auto"/>
        <w:spacing w:before="0" w:after="0" w:line="240" w:lineRule="auto"/>
        <w:ind w:left="40" w:right="20"/>
        <w:rPr>
          <w:i/>
        </w:rPr>
      </w:pPr>
      <w:r w:rsidRPr="00C045D7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2D34F2" w:rsidRPr="00C045D7" w:rsidRDefault="002D34F2" w:rsidP="002D34F2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………………………………………………………………………………………………………</w:t>
      </w:r>
    </w:p>
    <w:p w:rsidR="002D34F2" w:rsidRPr="00C045D7" w:rsidRDefault="002D34F2" w:rsidP="002D34F2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2D34F2" w:rsidRPr="00C045D7" w:rsidRDefault="002D34F2" w:rsidP="002D34F2">
      <w:pPr>
        <w:pStyle w:val="Teksttreci80"/>
        <w:shd w:val="clear" w:color="auto" w:fill="auto"/>
        <w:spacing w:before="0" w:after="0" w:line="240" w:lineRule="auto"/>
        <w:ind w:left="40" w:right="20"/>
      </w:pPr>
      <w:r w:rsidRPr="00C045D7">
        <w:t>Predyspozycje aplikanta do pracy na stanowisku sędziego lub prokuratora</w:t>
      </w:r>
    </w:p>
    <w:p w:rsidR="002D34F2" w:rsidRPr="00C045D7" w:rsidRDefault="002D34F2" w:rsidP="002D34F2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………………………………………………………………………………………………………</w:t>
      </w:r>
    </w:p>
    <w:p w:rsidR="002D34F2" w:rsidRPr="00C045D7" w:rsidRDefault="002D34F2" w:rsidP="002D34F2">
      <w:pPr>
        <w:pStyle w:val="Teksttreci80"/>
        <w:shd w:val="clear" w:color="auto" w:fill="auto"/>
        <w:spacing w:before="0" w:after="0" w:line="240" w:lineRule="auto"/>
        <w:ind w:left="40" w:right="20"/>
      </w:pPr>
    </w:p>
    <w:p w:rsidR="002D34F2" w:rsidRPr="00C045D7" w:rsidRDefault="002D34F2" w:rsidP="002D34F2">
      <w:pPr>
        <w:pStyle w:val="Teksttreci60"/>
        <w:shd w:val="clear" w:color="auto" w:fill="auto"/>
        <w:spacing w:line="240" w:lineRule="auto"/>
        <w:ind w:left="40"/>
        <w:jc w:val="both"/>
      </w:pPr>
    </w:p>
    <w:p w:rsidR="002D34F2" w:rsidRPr="00C045D7" w:rsidRDefault="002D34F2" w:rsidP="002D34F2">
      <w:pPr>
        <w:pStyle w:val="Teksttreci60"/>
        <w:shd w:val="clear" w:color="auto" w:fill="auto"/>
        <w:spacing w:line="240" w:lineRule="auto"/>
        <w:ind w:left="40"/>
        <w:jc w:val="both"/>
      </w:pPr>
      <w:r w:rsidRPr="00C045D7">
        <w:t>Dodatkowe uwagi patrona, dotyczące aplikanta lub przebiegu praktyki</w:t>
      </w:r>
    </w:p>
    <w:p w:rsidR="002D34F2" w:rsidRPr="00C045D7" w:rsidRDefault="002D34F2" w:rsidP="002D34F2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/>
        <w:jc w:val="both"/>
      </w:pPr>
      <w:r w:rsidRPr="00C045D7">
        <w:t>………………………………………………………………………………………………………</w:t>
      </w:r>
    </w:p>
    <w:p w:rsidR="002D34F2" w:rsidRPr="00C045D7" w:rsidRDefault="002D34F2" w:rsidP="002D34F2">
      <w:pPr>
        <w:pStyle w:val="Teksttreci60"/>
        <w:shd w:val="clear" w:color="auto" w:fill="auto"/>
        <w:spacing w:line="240" w:lineRule="auto"/>
        <w:ind w:left="40"/>
        <w:jc w:val="both"/>
      </w:pPr>
    </w:p>
    <w:p w:rsidR="002D34F2" w:rsidRPr="00C045D7" w:rsidRDefault="002D34F2" w:rsidP="002D34F2">
      <w:pPr>
        <w:pStyle w:val="Teksttreci60"/>
        <w:shd w:val="clear" w:color="auto" w:fill="auto"/>
        <w:spacing w:line="240" w:lineRule="auto"/>
        <w:ind w:left="40"/>
        <w:jc w:val="both"/>
      </w:pPr>
    </w:p>
    <w:p w:rsidR="002D34F2" w:rsidRPr="00C045D7" w:rsidRDefault="002D34F2" w:rsidP="002D34F2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C045D7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2D34F2" w:rsidRPr="00C045D7" w:rsidRDefault="002D34F2" w:rsidP="002D34F2">
      <w:pPr>
        <w:ind w:left="6237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C045D7">
        <w:rPr>
          <w:rFonts w:ascii="Times New Roman" w:hAnsi="Times New Roman" w:cs="Times New Roman"/>
          <w:i/>
          <w:color w:val="auto"/>
          <w:sz w:val="23"/>
          <w:szCs w:val="23"/>
        </w:rPr>
        <w:t>patrona praktyki</w:t>
      </w:r>
    </w:p>
    <w:sectPr w:rsidR="002D34F2" w:rsidRPr="00C045D7" w:rsidSect="002D34F2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5128D43C"/>
    <w:lvl w:ilvl="0" w:tplc="AC28F1E6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5F956E0"/>
    <w:multiLevelType w:val="hybridMultilevel"/>
    <w:tmpl w:val="099CE21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93947"/>
    <w:multiLevelType w:val="hybridMultilevel"/>
    <w:tmpl w:val="0BF65F66"/>
    <w:lvl w:ilvl="0" w:tplc="BB0687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>
    <w:nsid w:val="122D0E6E"/>
    <w:multiLevelType w:val="hybridMultilevel"/>
    <w:tmpl w:val="30BAD55C"/>
    <w:lvl w:ilvl="0" w:tplc="CA9A1B3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">
    <w:nsid w:val="12655EA5"/>
    <w:multiLevelType w:val="hybridMultilevel"/>
    <w:tmpl w:val="7696C50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D96DD5"/>
    <w:multiLevelType w:val="hybridMultilevel"/>
    <w:tmpl w:val="F7066044"/>
    <w:lvl w:ilvl="0" w:tplc="88EE9D6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1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60531727"/>
    <w:multiLevelType w:val="hybridMultilevel"/>
    <w:tmpl w:val="C99E2F52"/>
    <w:lvl w:ilvl="0" w:tplc="BB06876C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3">
    <w:nsid w:val="73FB38AA"/>
    <w:multiLevelType w:val="hybridMultilevel"/>
    <w:tmpl w:val="4FBE8832"/>
    <w:lvl w:ilvl="0" w:tplc="F1BA31F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>
    <w:nsid w:val="753E2F09"/>
    <w:multiLevelType w:val="hybridMultilevel"/>
    <w:tmpl w:val="4E102F74"/>
    <w:lvl w:ilvl="0" w:tplc="EE3C2B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F364C"/>
    <w:multiLevelType w:val="hybridMultilevel"/>
    <w:tmpl w:val="F7B8F6B0"/>
    <w:lvl w:ilvl="0" w:tplc="1D686A3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  <w:num w:numId="16">
    <w:abstractNumId w:val="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174DD"/>
    <w:rsid w:val="00021356"/>
    <w:rsid w:val="00025304"/>
    <w:rsid w:val="00071C44"/>
    <w:rsid w:val="0007460B"/>
    <w:rsid w:val="00096331"/>
    <w:rsid w:val="000A5D4E"/>
    <w:rsid w:val="000B2A81"/>
    <w:rsid w:val="000F1027"/>
    <w:rsid w:val="00154F28"/>
    <w:rsid w:val="001C651D"/>
    <w:rsid w:val="001D143F"/>
    <w:rsid w:val="00240A34"/>
    <w:rsid w:val="0027747E"/>
    <w:rsid w:val="002D2C3E"/>
    <w:rsid w:val="002D34F2"/>
    <w:rsid w:val="002E2C66"/>
    <w:rsid w:val="002F7EAB"/>
    <w:rsid w:val="00326F73"/>
    <w:rsid w:val="00327FBE"/>
    <w:rsid w:val="0034222A"/>
    <w:rsid w:val="0036501C"/>
    <w:rsid w:val="00366072"/>
    <w:rsid w:val="003B7674"/>
    <w:rsid w:val="003E44D8"/>
    <w:rsid w:val="003E4A36"/>
    <w:rsid w:val="0041281D"/>
    <w:rsid w:val="004163B8"/>
    <w:rsid w:val="004224B1"/>
    <w:rsid w:val="00480247"/>
    <w:rsid w:val="005037E9"/>
    <w:rsid w:val="00564DFC"/>
    <w:rsid w:val="00567312"/>
    <w:rsid w:val="00676074"/>
    <w:rsid w:val="00691D53"/>
    <w:rsid w:val="00695F4B"/>
    <w:rsid w:val="0071371F"/>
    <w:rsid w:val="007B320B"/>
    <w:rsid w:val="007B6F51"/>
    <w:rsid w:val="007F38C4"/>
    <w:rsid w:val="00816ED7"/>
    <w:rsid w:val="008554B9"/>
    <w:rsid w:val="00881C4E"/>
    <w:rsid w:val="00887D60"/>
    <w:rsid w:val="00894E7F"/>
    <w:rsid w:val="00927DE7"/>
    <w:rsid w:val="00990D90"/>
    <w:rsid w:val="009C20E9"/>
    <w:rsid w:val="009C5A6D"/>
    <w:rsid w:val="00A106DB"/>
    <w:rsid w:val="00A11322"/>
    <w:rsid w:val="00A151CA"/>
    <w:rsid w:val="00A53811"/>
    <w:rsid w:val="00A600B9"/>
    <w:rsid w:val="00AB2D37"/>
    <w:rsid w:val="00B04DBC"/>
    <w:rsid w:val="00B5385F"/>
    <w:rsid w:val="00B7591C"/>
    <w:rsid w:val="00BD2028"/>
    <w:rsid w:val="00C2548D"/>
    <w:rsid w:val="00C46546"/>
    <w:rsid w:val="00C52A81"/>
    <w:rsid w:val="00C5714A"/>
    <w:rsid w:val="00CB5CD2"/>
    <w:rsid w:val="00D30692"/>
    <w:rsid w:val="00D56D0B"/>
    <w:rsid w:val="00D84214"/>
    <w:rsid w:val="00D9313D"/>
    <w:rsid w:val="00DC4657"/>
    <w:rsid w:val="00DF790D"/>
    <w:rsid w:val="00E05F00"/>
    <w:rsid w:val="00E23B2D"/>
    <w:rsid w:val="00E41BDF"/>
    <w:rsid w:val="00E510FE"/>
    <w:rsid w:val="00E5314A"/>
    <w:rsid w:val="00E64B91"/>
    <w:rsid w:val="00E8142A"/>
    <w:rsid w:val="00E91263"/>
    <w:rsid w:val="00EA4444"/>
    <w:rsid w:val="00F05598"/>
    <w:rsid w:val="00F4241A"/>
    <w:rsid w:val="00F61127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Mariusz Kucharczyk</cp:lastModifiedBy>
  <cp:revision>2</cp:revision>
  <cp:lastPrinted>2018-08-28T07:11:00Z</cp:lastPrinted>
  <dcterms:created xsi:type="dcterms:W3CDTF">2021-05-06T11:35:00Z</dcterms:created>
  <dcterms:modified xsi:type="dcterms:W3CDTF">2021-05-06T11:35:00Z</dcterms:modified>
</cp:coreProperties>
</file>