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BD2028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r w:rsidRPr="006366A7">
        <w:rPr>
          <w:b/>
        </w:rPr>
        <w:t xml:space="preserve">OPINIA PATRONA PRAKTYKI </w:t>
      </w:r>
      <w:r w:rsidR="0007460B" w:rsidRPr="006366A7">
        <w:rPr>
          <w:b/>
        </w:rPr>
        <w:t>WRAZ Z OCENĄ PRZEBIEGU PRAKTYKI</w:t>
      </w:r>
      <w:r w:rsidR="0007460B" w:rsidRPr="001D143F">
        <w:t xml:space="preserve"> </w:t>
      </w:r>
      <w:r w:rsidR="00567312">
        <w:t xml:space="preserve">             </w:t>
      </w:r>
      <w:r w:rsidRPr="00BD2028">
        <w:t xml:space="preserve">dotycząca </w:t>
      </w:r>
      <w:r w:rsidR="001D143F" w:rsidRPr="006366A7">
        <w:rPr>
          <w:b/>
        </w:rPr>
        <w:t xml:space="preserve">aplikanta </w:t>
      </w:r>
      <w:r w:rsidR="0008543D" w:rsidRPr="006366A7">
        <w:rPr>
          <w:b/>
        </w:rPr>
        <w:t>1</w:t>
      </w:r>
      <w:r w:rsidR="001D143F" w:rsidRPr="006366A7">
        <w:rPr>
          <w:b/>
        </w:rPr>
        <w:t xml:space="preserve"> rocznika aplikacji</w:t>
      </w:r>
      <w:r w:rsidR="0008543D" w:rsidRPr="006366A7">
        <w:rPr>
          <w:b/>
        </w:rPr>
        <w:t xml:space="preserve"> uzupełniającej </w:t>
      </w:r>
      <w:r w:rsidR="001D143F" w:rsidRPr="006366A7">
        <w:rPr>
          <w:b/>
        </w:rPr>
        <w:t xml:space="preserve"> sędziowskiej</w:t>
      </w:r>
      <w:r w:rsidR="001D143F" w:rsidRPr="00BD2028">
        <w:t xml:space="preserve"> 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b/>
        </w:rPr>
      </w:pPr>
      <w:r w:rsidRPr="00BD2028">
        <w:t xml:space="preserve">po </w:t>
      </w:r>
      <w:r w:rsidR="000759AB">
        <w:t>XIX</w:t>
      </w:r>
      <w:r w:rsidRPr="00BD2028">
        <w:t xml:space="preserve"> zjeździe za okres praktyki od </w:t>
      </w:r>
      <w:r w:rsidR="0008543D" w:rsidRPr="006366A7">
        <w:rPr>
          <w:b/>
        </w:rPr>
        <w:t>21 czerwca 2021</w:t>
      </w:r>
      <w:r w:rsidRPr="006366A7">
        <w:rPr>
          <w:b/>
        </w:rPr>
        <w:t xml:space="preserve">r. do </w:t>
      </w:r>
      <w:r w:rsidR="003E44D8" w:rsidRPr="006366A7">
        <w:rPr>
          <w:b/>
        </w:rPr>
        <w:t>2</w:t>
      </w:r>
      <w:r w:rsidR="006366A7">
        <w:rPr>
          <w:b/>
        </w:rPr>
        <w:t xml:space="preserve"> lipca</w:t>
      </w:r>
      <w:r w:rsidR="0008543D" w:rsidRPr="006366A7">
        <w:rPr>
          <w:b/>
        </w:rPr>
        <w:t xml:space="preserve"> 2021</w:t>
      </w:r>
      <w:r w:rsidRPr="006366A7">
        <w:rPr>
          <w:b/>
        </w:rPr>
        <w:t xml:space="preserve"> r.</w:t>
      </w:r>
      <w:r w:rsidR="00E738BF" w:rsidRPr="006366A7">
        <w:rPr>
          <w:b/>
        </w:rPr>
        <w:t xml:space="preserve"> </w:t>
      </w:r>
    </w:p>
    <w:p w:rsidR="00774FCA" w:rsidRPr="00BD2028" w:rsidRDefault="00774FCA" w:rsidP="00774FCA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0005A3">
        <w:rPr>
          <w:rFonts w:hint="eastAsia"/>
        </w:rPr>
        <w:t>w dniach: ………………………………………………………………………….</w:t>
      </w: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BD2028">
        <w:t xml:space="preserve">w Sądzie </w:t>
      </w:r>
      <w:r w:rsidR="000759AB">
        <w:t xml:space="preserve">Okręgowym </w:t>
      </w:r>
      <w:r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  <w:bookmarkStart w:id="0" w:name="_GoBack"/>
      <w:bookmarkEnd w:id="0"/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41281D" w:rsidRDefault="0041281D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1134"/>
        <w:gridCol w:w="3862"/>
      </w:tblGrid>
      <w:tr w:rsidR="00816ED7" w:rsidTr="00816ED7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816ED7" w:rsidTr="00816ED7">
        <w:trPr>
          <w:trHeight w:val="41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816ED7" w:rsidTr="00816ED7">
        <w:trPr>
          <w:trHeight w:val="138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Pr="001827AF" w:rsidRDefault="000759AB" w:rsidP="000759AB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 w:rsidRPr="001827AF">
              <w:rPr>
                <w:b/>
                <w:sz w:val="22"/>
                <w:szCs w:val="22"/>
              </w:rPr>
              <w:t>Zapoznawanie się ak</w:t>
            </w:r>
            <w:r>
              <w:rPr>
                <w:b/>
                <w:sz w:val="22"/>
                <w:szCs w:val="22"/>
              </w:rPr>
              <w:t>tami spraw, w których</w:t>
            </w:r>
            <w:r w:rsidRPr="001827AF">
              <w:rPr>
                <w:b/>
                <w:sz w:val="22"/>
                <w:szCs w:val="22"/>
              </w:rPr>
              <w:t>:</w:t>
            </w:r>
          </w:p>
          <w:p w:rsidR="000759AB" w:rsidRPr="001827AF" w:rsidRDefault="000759AB" w:rsidP="000759AB">
            <w:pPr>
              <w:pStyle w:val="Akapitzlist"/>
              <w:numPr>
                <w:ilvl w:val="0"/>
                <w:numId w:val="7"/>
              </w:numPr>
              <w:spacing w:after="0"/>
              <w:ind w:left="436" w:hanging="357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zgłoszono </w:t>
            </w:r>
            <w:r w:rsidRPr="001827AF">
              <w:rPr>
                <w:rFonts w:ascii="Times New Roman" w:hAnsi="Times New Roman"/>
              </w:rPr>
              <w:t xml:space="preserve">roszczenia wynikające z naruszenia dóbr osobistych (o zadośćuczynienie pieniężne, o zapłatę odpowiedniej sumy na cel społeczny, o dopełnienie czynności potrzebnych do usunięcia skutków dokonanego naruszenia dobra osobistego, o zaniechanie działania </w:t>
            </w:r>
            <w:r w:rsidR="006366A7">
              <w:rPr>
                <w:rFonts w:ascii="Times New Roman" w:hAnsi="Times New Roman"/>
              </w:rPr>
              <w:t>zagrażającego dobru osobistemu),</w:t>
            </w:r>
          </w:p>
          <w:p w:rsidR="000759AB" w:rsidRPr="001827AF" w:rsidRDefault="000759AB" w:rsidP="000759AB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zgłoszono </w:t>
            </w:r>
            <w:r w:rsidRPr="001827AF">
              <w:rPr>
                <w:rFonts w:ascii="Times New Roman" w:hAnsi="Times New Roman"/>
              </w:rPr>
              <w:t>roszczenie o  zadośćuczynienie na podstawie:</w:t>
            </w:r>
          </w:p>
          <w:p w:rsidR="000759AB" w:rsidRPr="001827AF" w:rsidRDefault="000759AB" w:rsidP="000759A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1827AF">
              <w:rPr>
                <w:rFonts w:ascii="Times New Roman" w:hAnsi="Times New Roman"/>
              </w:rPr>
              <w:t>art. 445 k.c.</w:t>
            </w:r>
            <w:r w:rsidR="006366A7">
              <w:rPr>
                <w:rFonts w:ascii="Times New Roman" w:hAnsi="Times New Roman"/>
              </w:rPr>
              <w:t>,</w:t>
            </w:r>
          </w:p>
          <w:p w:rsidR="000759AB" w:rsidRPr="001827AF" w:rsidRDefault="000759AB" w:rsidP="000759A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1827AF">
              <w:rPr>
                <w:rFonts w:ascii="Times New Roman" w:hAnsi="Times New Roman"/>
              </w:rPr>
              <w:t>art. 446 § 4 k.c.</w:t>
            </w:r>
            <w:r w:rsidR="006366A7">
              <w:rPr>
                <w:rFonts w:ascii="Times New Roman" w:hAnsi="Times New Roman"/>
              </w:rPr>
              <w:t>,</w:t>
            </w:r>
          </w:p>
          <w:p w:rsidR="000759AB" w:rsidRPr="001827AF" w:rsidRDefault="000759AB" w:rsidP="000759A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1827AF">
              <w:rPr>
                <w:rFonts w:ascii="Times New Roman" w:hAnsi="Times New Roman"/>
              </w:rPr>
              <w:t>art. 448 k.c.</w:t>
            </w:r>
            <w:r w:rsidR="006366A7">
              <w:rPr>
                <w:rFonts w:ascii="Times New Roman" w:hAnsi="Times New Roman"/>
              </w:rPr>
              <w:t>,</w:t>
            </w:r>
          </w:p>
          <w:p w:rsidR="000759AB" w:rsidRPr="001827AF" w:rsidRDefault="000759AB" w:rsidP="000759A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zgłoszono roszczenie o</w:t>
            </w:r>
            <w:r w:rsidRPr="001827AF">
              <w:rPr>
                <w:rFonts w:ascii="Times New Roman" w:hAnsi="Times New Roman"/>
              </w:rPr>
              <w:t xml:space="preserve"> rentę na podstawie:</w:t>
            </w:r>
          </w:p>
          <w:p w:rsidR="000759AB" w:rsidRPr="001827AF" w:rsidRDefault="006366A7" w:rsidP="000759A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art. 444 § 2 k.c.,</w:t>
            </w:r>
          </w:p>
          <w:p w:rsidR="000759AB" w:rsidRPr="001827AF" w:rsidRDefault="000759AB" w:rsidP="000759AB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827AF">
              <w:rPr>
                <w:rFonts w:ascii="Times New Roman" w:hAnsi="Times New Roman"/>
              </w:rPr>
              <w:t>art. 446 § 2 k.c.</w:t>
            </w:r>
            <w:r w:rsidR="006366A7">
              <w:rPr>
                <w:rFonts w:ascii="Times New Roman" w:hAnsi="Times New Roman"/>
              </w:rPr>
              <w:t>,</w:t>
            </w:r>
          </w:p>
          <w:p w:rsidR="000759AB" w:rsidRPr="001827AF" w:rsidRDefault="000759AB" w:rsidP="000759AB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zgłoszono </w:t>
            </w:r>
            <w:r w:rsidRPr="001827AF">
              <w:rPr>
                <w:rFonts w:ascii="Times New Roman" w:hAnsi="Times New Roman"/>
              </w:rPr>
              <w:t xml:space="preserve">roszczenie o odszkodowanie </w:t>
            </w:r>
            <w:r>
              <w:rPr>
                <w:rFonts w:ascii="Times New Roman" w:hAnsi="Times New Roman"/>
              </w:rPr>
              <w:t xml:space="preserve">  na podstawie:</w:t>
            </w:r>
          </w:p>
          <w:p w:rsidR="000759AB" w:rsidRPr="001827AF" w:rsidRDefault="006366A7" w:rsidP="000759A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art. 444 § 1 k.c.,</w:t>
            </w:r>
          </w:p>
          <w:p w:rsidR="000759AB" w:rsidRPr="001827AF" w:rsidRDefault="000759AB" w:rsidP="000759A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1827AF">
              <w:rPr>
                <w:rFonts w:ascii="Times New Roman" w:hAnsi="Times New Roman"/>
              </w:rPr>
              <w:t>art. 446 § 3 k.c.</w:t>
            </w:r>
            <w:r w:rsidR="006366A7">
              <w:rPr>
                <w:rFonts w:ascii="Times New Roman" w:hAnsi="Times New Roman"/>
              </w:rPr>
              <w:t>,</w:t>
            </w:r>
          </w:p>
          <w:p w:rsidR="000759AB" w:rsidRDefault="000759AB" w:rsidP="006366A7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1827AF">
              <w:t xml:space="preserve">odpowiedzialność sprawcy oparta jest o przepis </w:t>
            </w:r>
            <w:r>
              <w:t>art.</w:t>
            </w:r>
            <w:r w:rsidRPr="001827AF">
              <w:t xml:space="preserve"> 4</w:t>
            </w:r>
            <w:r>
              <w:t>29, 430, 436 k.c.</w:t>
            </w:r>
          </w:p>
          <w:p w:rsidR="000759AB" w:rsidRDefault="000759AB" w:rsidP="000759AB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ind w:left="494"/>
            </w:pPr>
          </w:p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F05598">
        <w:trPr>
          <w:trHeight w:val="193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0759AB" w:rsidP="000759A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9C">
              <w:rPr>
                <w:rFonts w:ascii="Times New Roman" w:hAnsi="Times New Roman"/>
              </w:rPr>
              <w:lastRenderedPageBreak/>
              <w:t>Udział w posiedzeniu przygotowawczym w sprawach  z tematyki wskazanej w punkcie 1., bądź innych, w których takie posiedzenie się odbędzie</w:t>
            </w:r>
            <w:r w:rsidR="006366A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759AB" w:rsidTr="00F05598">
        <w:trPr>
          <w:trHeight w:val="193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Pr="0008769C" w:rsidRDefault="000759AB" w:rsidP="000759A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t>Udział w rozprawach dotyczących spraw z tematyki wskazanej w punkcie 1. Na etapie przeprowadzania w nich postępowania dowodowego.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759AB" w:rsidTr="00F05598">
        <w:trPr>
          <w:trHeight w:val="193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Pr="0008769C" w:rsidRDefault="000759AB" w:rsidP="000759AB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 xml:space="preserve">Zapoznawanie się z rozstrzygnięciami w sprawach z tematyki wskazanej w pkt 1, w tym wyrokami oraz postanowieniami </w:t>
            </w:r>
            <w:proofErr w:type="spellStart"/>
            <w:r w:rsidRPr="0008769C">
              <w:rPr>
                <w:sz w:val="22"/>
                <w:szCs w:val="22"/>
              </w:rPr>
              <w:t>niemerytorycznymi</w:t>
            </w:r>
            <w:proofErr w:type="spellEnd"/>
            <w:r w:rsidRPr="0008769C">
              <w:rPr>
                <w:sz w:val="22"/>
                <w:szCs w:val="22"/>
              </w:rPr>
              <w:t xml:space="preserve"> kończącymi postępowanie.</w:t>
            </w:r>
          </w:p>
          <w:p w:rsidR="000759AB" w:rsidRPr="00765DD2" w:rsidRDefault="000759AB" w:rsidP="000759AB">
            <w:pPr>
              <w:pStyle w:val="Akapitzlist"/>
              <w:ind w:left="4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759AB" w:rsidTr="00F05598">
        <w:trPr>
          <w:trHeight w:val="193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9C" w:rsidRPr="0008769C" w:rsidRDefault="0008769C" w:rsidP="0008769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Zapoznawanie się  ze sprawami z tematyki wskazanej w punkcie 1., w których wystąpiło zagadnienie:</w:t>
            </w:r>
          </w:p>
          <w:p w:rsidR="0008769C" w:rsidRPr="0008769C" w:rsidRDefault="0008769C" w:rsidP="0008769C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przyczynienia się poszkodowanego do powstania lub zwiększenia szkody (art. 362 k.c.),</w:t>
            </w:r>
          </w:p>
          <w:p w:rsidR="000759AB" w:rsidRPr="00765DD2" w:rsidRDefault="0008769C" w:rsidP="0008769C">
            <w:pPr>
              <w:pStyle w:val="Akapitzlist"/>
              <w:ind w:left="440"/>
              <w:jc w:val="both"/>
            </w:pPr>
            <w:r w:rsidRPr="0008769C">
              <w:rPr>
                <w:rFonts w:ascii="Times New Roman" w:hAnsi="Times New Roman"/>
              </w:rPr>
              <w:t>- zastosowania instytucji z art. 322 k.p.c.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8769C" w:rsidTr="00F05598">
        <w:trPr>
          <w:trHeight w:val="193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9C" w:rsidRPr="0008769C" w:rsidRDefault="0008769C" w:rsidP="0008769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Zapoznawanie się ze sprawami, w których występowały zagadnienia dotyczące odpowiedzialności dziennikarza lub redaktora  za naruszenie dóbr osobistych – prawo prasowe.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9C" w:rsidRDefault="000876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9C" w:rsidRDefault="0008769C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8769C" w:rsidTr="00F05598">
        <w:trPr>
          <w:trHeight w:val="193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9C" w:rsidRPr="001827AF" w:rsidRDefault="0008769C" w:rsidP="0008769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Zapoznawanie się ze sprawami, w których zgłoszone roszczenie o zadośćuczynienie związane było z błędem medycznym lub naruszeniem praw pacjenta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9C" w:rsidRDefault="000876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9C" w:rsidRDefault="0008769C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66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543D" w:rsidRDefault="00816ED7" w:rsidP="003F46E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t>Sporządzanie projektów następujących decyzji procesowych</w:t>
            </w:r>
            <w:r w:rsidRPr="0008769C">
              <w:rPr>
                <w:rFonts w:ascii="Times New Roman" w:eastAsia="Times New Roman" w:hAnsi="Times New Roman"/>
              </w:rPr>
              <w:t>:</w:t>
            </w:r>
          </w:p>
          <w:p w:rsidR="0008543D" w:rsidRDefault="0008543D" w:rsidP="003F46E5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t>postanowienia w przedmiocie zwolnienia od kosztów sądowych oraz ustanowienia pełnomocnika z urzędu,</w:t>
            </w:r>
          </w:p>
          <w:p w:rsidR="0008543D" w:rsidRPr="003F46E5" w:rsidRDefault="0008543D" w:rsidP="003F46E5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Times New Roman" w:hAnsi="Times New Roman"/>
              </w:rPr>
            </w:pPr>
            <w:r w:rsidRPr="003F46E5">
              <w:rPr>
                <w:rFonts w:ascii="Times New Roman" w:hAnsi="Times New Roman"/>
              </w:rPr>
              <w:t>postanowienia w przedmiocie wynagrodzenia biegłego,</w:t>
            </w:r>
          </w:p>
          <w:p w:rsidR="0008543D" w:rsidRPr="003F46E5" w:rsidRDefault="0008543D" w:rsidP="003F46E5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Times New Roman" w:hAnsi="Times New Roman"/>
              </w:rPr>
            </w:pPr>
            <w:r w:rsidRPr="003F46E5">
              <w:rPr>
                <w:rFonts w:ascii="Times New Roman" w:hAnsi="Times New Roman"/>
              </w:rPr>
              <w:lastRenderedPageBreak/>
              <w:t>postanowienia w przedmiocie</w:t>
            </w:r>
            <w:r w:rsidRPr="0008769C">
              <w:rPr>
                <w:rFonts w:ascii="Times New Roman" w:hAnsi="Times New Roman"/>
              </w:rPr>
              <w:t xml:space="preserve"> rozpoznania skargi na orzeczenie referendarza sądowego albo </w:t>
            </w:r>
            <w:r w:rsidRPr="003F46E5">
              <w:rPr>
                <w:rFonts w:ascii="Times New Roman" w:hAnsi="Times New Roman"/>
              </w:rPr>
              <w:t>zażalenia w trybie art. 394</w:t>
            </w:r>
            <w:r w:rsidRPr="003F46E5">
              <w:rPr>
                <w:rFonts w:ascii="Times New Roman" w:hAnsi="Times New Roman"/>
                <w:vertAlign w:val="superscript"/>
              </w:rPr>
              <w:t xml:space="preserve">1a </w:t>
            </w:r>
            <w:r w:rsidRPr="003F46E5">
              <w:rPr>
                <w:rFonts w:ascii="Times New Roman" w:hAnsi="Times New Roman"/>
              </w:rPr>
              <w:t>k.p.c.  w sprawie z zakresu wskazanego w podpunkcie a) i b) powyżej,</w:t>
            </w:r>
          </w:p>
          <w:p w:rsidR="0008543D" w:rsidRPr="003F46E5" w:rsidRDefault="0008543D" w:rsidP="003F46E5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Times New Roman" w:hAnsi="Times New Roman"/>
              </w:rPr>
            </w:pPr>
            <w:r w:rsidRPr="003F46E5">
              <w:rPr>
                <w:rFonts w:ascii="Times New Roman" w:hAnsi="Times New Roman"/>
              </w:rPr>
              <w:t>postanowienia w przedmiocie udzielenia zabezpieczenia roszczenia pieniężnego w sprawie z zakresu ochrony dóbr osobistych,</w:t>
            </w:r>
          </w:p>
          <w:p w:rsidR="0008543D" w:rsidRPr="003F46E5" w:rsidRDefault="0008543D" w:rsidP="003F46E5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Times New Roman" w:hAnsi="Times New Roman"/>
              </w:rPr>
            </w:pPr>
            <w:r w:rsidRPr="003F46E5">
              <w:rPr>
                <w:rFonts w:ascii="Times New Roman" w:hAnsi="Times New Roman"/>
              </w:rPr>
              <w:t>postanowienia o dopuszczeniu dowodu z opinii biegłego z różnych specjalności w sprawach wskazanych w punkcie 1. oraz pisma w przedmiocie zlecenia biegłemu sporządzenia opinii,</w:t>
            </w:r>
          </w:p>
          <w:p w:rsidR="0008543D" w:rsidRPr="003F46E5" w:rsidRDefault="0008543D" w:rsidP="003F46E5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Times New Roman" w:hAnsi="Times New Roman"/>
              </w:rPr>
            </w:pPr>
            <w:r w:rsidRPr="003F46E5">
              <w:rPr>
                <w:rFonts w:ascii="Times New Roman" w:hAnsi="Times New Roman"/>
              </w:rPr>
              <w:t>wyroków w sprawach, w których zgłoszono roszczenia wskazane w punkcie 1. oraz zawartych w nim orzeczeń o kosztach procesu,</w:t>
            </w:r>
          </w:p>
          <w:p w:rsidR="0008543D" w:rsidRPr="003F46E5" w:rsidRDefault="0008543D" w:rsidP="003F46E5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Times New Roman" w:hAnsi="Times New Roman"/>
              </w:rPr>
            </w:pPr>
            <w:r w:rsidRPr="003F46E5">
              <w:rPr>
                <w:rFonts w:ascii="Times New Roman" w:hAnsi="Times New Roman"/>
              </w:rPr>
              <w:t>uzasadnień wyroków w sprawach, w których zgłoszono roszczenia wskazane w punkcie 1.</w:t>
            </w:r>
          </w:p>
          <w:p w:rsidR="0008543D" w:rsidRPr="003F46E5" w:rsidRDefault="0008543D" w:rsidP="003F46E5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Times New Roman" w:hAnsi="Times New Roman"/>
              </w:rPr>
            </w:pPr>
            <w:r w:rsidRPr="003F46E5">
              <w:rPr>
                <w:rFonts w:ascii="Times New Roman" w:hAnsi="Times New Roman"/>
              </w:rPr>
              <w:t>uzasadn</w:t>
            </w:r>
            <w:r w:rsidR="00460DE5">
              <w:rPr>
                <w:rFonts w:ascii="Times New Roman" w:hAnsi="Times New Roman"/>
              </w:rPr>
              <w:t>ień orzeczeń o kosztach procesu.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27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816ED7" w:rsidP="00460DE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lastRenderedPageBreak/>
              <w:t xml:space="preserve">Sporządzanie projektów uzasadnień </w:t>
            </w:r>
            <w:r w:rsidR="0008769C" w:rsidRPr="0008769C">
              <w:rPr>
                <w:rFonts w:ascii="Times New Roman" w:hAnsi="Times New Roman"/>
              </w:rPr>
              <w:t>orzeczeń  z pkt</w:t>
            </w:r>
            <w:r w:rsidR="00460DE5">
              <w:rPr>
                <w:rFonts w:ascii="Times New Roman" w:hAnsi="Times New Roman"/>
              </w:rPr>
              <w:t xml:space="preserve">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41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816ED7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Czynności inne*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816ED7" w:rsidTr="00816ED7">
        <w:trPr>
          <w:trHeight w:val="42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6A7" w:rsidRDefault="006366A7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sz w:val="22"/>
                <w:szCs w:val="22"/>
              </w:rPr>
            </w:pPr>
          </w:p>
          <w:p w:rsidR="00816ED7" w:rsidRDefault="00816ED7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1</w:t>
            </w:r>
            <w:r w:rsidRPr="0008769C">
              <w:rPr>
                <w:sz w:val="22"/>
                <w:szCs w:val="22"/>
              </w:rPr>
              <w:tab/>
            </w:r>
          </w:p>
          <w:p w:rsidR="006366A7" w:rsidRPr="0008769C" w:rsidRDefault="006366A7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28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6A7" w:rsidRDefault="006366A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sz w:val="22"/>
                <w:szCs w:val="22"/>
              </w:rPr>
            </w:pPr>
          </w:p>
          <w:p w:rsidR="00816ED7" w:rsidRDefault="00816ED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2</w:t>
            </w:r>
            <w:r w:rsidRPr="0008769C">
              <w:rPr>
                <w:sz w:val="22"/>
                <w:szCs w:val="22"/>
              </w:rPr>
              <w:tab/>
            </w:r>
          </w:p>
          <w:p w:rsidR="006366A7" w:rsidRPr="0008769C" w:rsidRDefault="006366A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3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816ED7" w:rsidRDefault="00816ED7" w:rsidP="00816ED7">
      <w:pPr>
        <w:rPr>
          <w:sz w:val="2"/>
          <w:szCs w:val="2"/>
        </w:rPr>
      </w:pPr>
    </w:p>
    <w:p w:rsidR="00460DE5" w:rsidRPr="00460DE5" w:rsidRDefault="00460DE5" w:rsidP="00460DE5">
      <w:pPr>
        <w:spacing w:before="104" w:after="246" w:line="230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  <w:r w:rsidRPr="00460DE5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>* wypełnia Krajowa Szkoła Sądownictwa i Prokuratury</w:t>
      </w:r>
    </w:p>
    <w:p w:rsidR="00460DE5" w:rsidRPr="00460DE5" w:rsidRDefault="00460DE5" w:rsidP="006366A7">
      <w:pPr>
        <w:spacing w:before="104" w:after="246" w:line="230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keepNext/>
        <w:keepLines/>
        <w:tabs>
          <w:tab w:val="left" w:leader="dot" w:pos="9006"/>
        </w:tabs>
        <w:spacing w:after="25" w:line="220" w:lineRule="exact"/>
        <w:ind w:left="20"/>
        <w:jc w:val="both"/>
        <w:outlineLvl w:val="3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en-US"/>
        </w:rPr>
      </w:pPr>
      <w:bookmarkStart w:id="2" w:name="bookmark7"/>
      <w:r w:rsidRPr="00460DE5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en-US"/>
        </w:rPr>
        <w:t xml:space="preserve">Ocena przebiegu praktyki </w:t>
      </w:r>
      <w:r w:rsidRPr="00460DE5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en-US"/>
        </w:rPr>
        <w:tab/>
      </w:r>
      <w:bookmarkEnd w:id="2"/>
    </w:p>
    <w:p w:rsidR="00460DE5" w:rsidRPr="00460DE5" w:rsidRDefault="00460DE5" w:rsidP="00460DE5">
      <w:pPr>
        <w:spacing w:after="403" w:line="274" w:lineRule="exact"/>
        <w:ind w:left="20" w:right="600"/>
        <w:jc w:val="both"/>
        <w:rPr>
          <w:rFonts w:ascii="Times New Roman" w:eastAsia="Times New Roman" w:hAnsi="Times New Roman" w:cs="Times New Roman"/>
          <w:i/>
          <w:color w:val="auto"/>
          <w:sz w:val="23"/>
          <w:szCs w:val="23"/>
          <w:lang w:val="pl-PL" w:eastAsia="en-US"/>
        </w:rPr>
      </w:pPr>
      <w:r w:rsidRPr="00460DE5">
        <w:rPr>
          <w:rFonts w:ascii="Times New Roman" w:eastAsia="Times New Roman" w:hAnsi="Times New Roman" w:cs="Times New Roman"/>
          <w:i/>
          <w:color w:val="auto"/>
          <w:sz w:val="23"/>
          <w:szCs w:val="23"/>
          <w:lang w:val="pl-PL" w:eastAsia="en-US"/>
        </w:rPr>
        <w:t>(w systemie punktowym, w skali od 0 do 5 punktów, przy czym ocena stanowi wielokrotność 0,5 punktu. Za uzyskanie pozytywnej oceny uważa się otrzymanie co najmniej 2 punktów)</w:t>
      </w:r>
    </w:p>
    <w:p w:rsidR="00460DE5" w:rsidRPr="00460DE5" w:rsidRDefault="00460DE5" w:rsidP="00460DE5">
      <w:pPr>
        <w:spacing w:after="403" w:line="274" w:lineRule="exact"/>
        <w:ind w:left="20" w:right="60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keepNext/>
        <w:keepLines/>
        <w:spacing w:after="205" w:line="220" w:lineRule="exact"/>
        <w:ind w:left="3540"/>
        <w:outlineLvl w:val="3"/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 w:eastAsia="en-US"/>
        </w:rPr>
      </w:pPr>
      <w:bookmarkStart w:id="3" w:name="bookmark8"/>
      <w:r w:rsidRPr="00460DE5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 w:eastAsia="en-US"/>
        </w:rPr>
        <w:lastRenderedPageBreak/>
        <w:t>Uzasadnienie oceny</w:t>
      </w:r>
      <w:bookmarkEnd w:id="3"/>
    </w:p>
    <w:p w:rsidR="00460DE5" w:rsidRPr="00460DE5" w:rsidRDefault="00460DE5" w:rsidP="00460DE5">
      <w:pPr>
        <w:keepNext/>
        <w:keepLines/>
        <w:spacing w:after="205" w:line="220" w:lineRule="exact"/>
        <w:ind w:left="3540"/>
        <w:outlineLvl w:val="3"/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74" w:lineRule="exact"/>
        <w:ind w:left="20" w:right="60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  <w:r w:rsidRPr="00460DE5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460DE5" w:rsidRPr="00460DE5" w:rsidRDefault="00460DE5" w:rsidP="00460DE5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460DE5" w:rsidRPr="00460DE5">
          <w:pgSz w:w="11905" w:h="16837"/>
          <w:pgMar w:top="1418" w:right="925" w:bottom="989" w:left="1338" w:header="0" w:footer="3" w:gutter="0"/>
          <w:cols w:space="708"/>
        </w:sectPr>
      </w:pPr>
    </w:p>
    <w:p w:rsidR="00460DE5" w:rsidRPr="00460DE5" w:rsidRDefault="00460DE5" w:rsidP="00460DE5">
      <w:pPr>
        <w:spacing w:line="274" w:lineRule="exact"/>
        <w:ind w:right="20"/>
        <w:jc w:val="both"/>
        <w:rPr>
          <w:rFonts w:ascii="Times New Roman" w:eastAsia="Times New Roman" w:hAnsi="Times New Roman" w:cs="Times New Roman"/>
          <w:i/>
          <w:color w:val="auto"/>
          <w:sz w:val="23"/>
          <w:szCs w:val="23"/>
          <w:lang w:val="pl-PL" w:eastAsia="en-US"/>
        </w:rPr>
      </w:pPr>
      <w:r w:rsidRPr="00460DE5">
        <w:rPr>
          <w:rFonts w:ascii="Times New Roman" w:eastAsia="Times New Roman" w:hAnsi="Times New Roman" w:cs="Times New Roman"/>
          <w:iCs/>
          <w:color w:val="auto"/>
          <w:sz w:val="23"/>
          <w:szCs w:val="23"/>
          <w:shd w:val="clear" w:color="auto" w:fill="FFFFFF"/>
          <w:lang w:val="pl-PL" w:eastAsia="en-US"/>
        </w:rPr>
        <w:lastRenderedPageBreak/>
        <w:t>Umiejętność wykorzystania zdobytej wiedzy prawniczej w praktyce</w:t>
      </w:r>
      <w:r w:rsidRPr="00460DE5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 xml:space="preserve"> </w:t>
      </w:r>
      <w:r w:rsidRPr="00460DE5">
        <w:rPr>
          <w:rFonts w:ascii="Times New Roman" w:eastAsia="Times New Roman" w:hAnsi="Times New Roman" w:cs="Times New Roman"/>
          <w:i/>
          <w:color w:val="auto"/>
          <w:sz w:val="23"/>
          <w:szCs w:val="23"/>
          <w:lang w:val="pl-PL" w:eastAsia="en-US"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460DE5" w:rsidRPr="00460DE5" w:rsidRDefault="00460DE5" w:rsidP="00460DE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74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  <w:r w:rsidRPr="00460DE5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>Postawa aplikanta w trakcie aplikacji</w:t>
      </w:r>
    </w:p>
    <w:p w:rsidR="00460DE5" w:rsidRPr="00460DE5" w:rsidRDefault="00460DE5" w:rsidP="00460DE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i/>
          <w:color w:val="auto"/>
          <w:sz w:val="23"/>
          <w:szCs w:val="23"/>
          <w:lang w:val="pl-PL" w:eastAsia="en-US"/>
        </w:rPr>
      </w:pPr>
      <w:r w:rsidRPr="00460DE5">
        <w:rPr>
          <w:rFonts w:ascii="Times New Roman" w:eastAsia="Times New Roman" w:hAnsi="Times New Roman" w:cs="Times New Roman"/>
          <w:i/>
          <w:color w:val="auto"/>
          <w:sz w:val="23"/>
          <w:szCs w:val="23"/>
          <w:lang w:val="pl-PL" w:eastAsia="en-US"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460DE5" w:rsidRPr="00460DE5" w:rsidRDefault="00460DE5" w:rsidP="00460DE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  <w:r w:rsidRPr="00460DE5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>Predyspozycje aplikanta do pracy na stanowisku sędziego lub prokuratora</w:t>
      </w:r>
    </w:p>
    <w:p w:rsidR="00460DE5" w:rsidRPr="00460DE5" w:rsidRDefault="00460DE5" w:rsidP="00460DE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30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  <w:r w:rsidRPr="00460DE5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>Dodatkowe uwagi patrona, dotyczące aplikanta lub przebiegu praktyki.</w:t>
      </w:r>
    </w:p>
    <w:p w:rsidR="00460DE5" w:rsidRPr="00460DE5" w:rsidRDefault="00460DE5" w:rsidP="00460DE5">
      <w:pPr>
        <w:spacing w:line="230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30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30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30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30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30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30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30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spacing w:line="230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460DE5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460DE5" w:rsidRPr="00460DE5" w:rsidRDefault="00460DE5" w:rsidP="00460DE5">
      <w:pPr>
        <w:ind w:left="5664"/>
        <w:rPr>
          <w:i/>
          <w:color w:val="auto"/>
        </w:rPr>
      </w:pPr>
      <w:r w:rsidRPr="00460DE5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460DE5" w:rsidRPr="00460DE5" w:rsidRDefault="00460DE5" w:rsidP="00460DE5">
      <w:pPr>
        <w:spacing w:line="230" w:lineRule="exact"/>
        <w:ind w:left="6760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460DE5" w:rsidRPr="00460DE5" w:rsidRDefault="00460DE5" w:rsidP="00460DE5">
      <w:pPr>
        <w:keepNext/>
        <w:keepLines/>
        <w:tabs>
          <w:tab w:val="left" w:leader="dot" w:pos="9006"/>
        </w:tabs>
        <w:spacing w:after="25" w:line="220" w:lineRule="exact"/>
        <w:ind w:left="20"/>
        <w:jc w:val="both"/>
        <w:outlineLvl w:val="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en-US"/>
        </w:rPr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2F65F72"/>
    <w:lvl w:ilvl="0" w:tplc="54A24CB4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EE7C72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3EB7F5F"/>
    <w:multiLevelType w:val="hybridMultilevel"/>
    <w:tmpl w:val="5AE0D60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04F97"/>
    <w:multiLevelType w:val="hybridMultilevel"/>
    <w:tmpl w:val="42121FA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246855B5"/>
    <w:multiLevelType w:val="hybridMultilevel"/>
    <w:tmpl w:val="9CAA8ED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42E0F"/>
    <w:multiLevelType w:val="hybridMultilevel"/>
    <w:tmpl w:val="B816AEBC"/>
    <w:lvl w:ilvl="0" w:tplc="F0B88464">
      <w:start w:val="1"/>
      <w:numFmt w:val="lowerLetter"/>
      <w:lvlText w:val="%1)"/>
      <w:lvlJc w:val="left"/>
      <w:pPr>
        <w:ind w:left="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70041275"/>
    <w:multiLevelType w:val="hybridMultilevel"/>
    <w:tmpl w:val="933A90B0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759AB"/>
    <w:rsid w:val="0008543D"/>
    <w:rsid w:val="0008769C"/>
    <w:rsid w:val="00096331"/>
    <w:rsid w:val="000B2A81"/>
    <w:rsid w:val="000F1027"/>
    <w:rsid w:val="00154F28"/>
    <w:rsid w:val="001C651D"/>
    <w:rsid w:val="001D143F"/>
    <w:rsid w:val="00240A34"/>
    <w:rsid w:val="0027747E"/>
    <w:rsid w:val="002E2C66"/>
    <w:rsid w:val="002F7EAB"/>
    <w:rsid w:val="00327FBE"/>
    <w:rsid w:val="0034222A"/>
    <w:rsid w:val="003B7674"/>
    <w:rsid w:val="003E44D8"/>
    <w:rsid w:val="003F46E5"/>
    <w:rsid w:val="0041281D"/>
    <w:rsid w:val="004163B8"/>
    <w:rsid w:val="004224B1"/>
    <w:rsid w:val="00460DE5"/>
    <w:rsid w:val="00480247"/>
    <w:rsid w:val="005037E9"/>
    <w:rsid w:val="00567312"/>
    <w:rsid w:val="006366A7"/>
    <w:rsid w:val="0071371F"/>
    <w:rsid w:val="00774FCA"/>
    <w:rsid w:val="007B320B"/>
    <w:rsid w:val="007B6F51"/>
    <w:rsid w:val="00816ED7"/>
    <w:rsid w:val="00887D60"/>
    <w:rsid w:val="00894E7F"/>
    <w:rsid w:val="009C20E9"/>
    <w:rsid w:val="009C5A6D"/>
    <w:rsid w:val="00A106DB"/>
    <w:rsid w:val="00A11322"/>
    <w:rsid w:val="00A151CA"/>
    <w:rsid w:val="00A53811"/>
    <w:rsid w:val="00A600B9"/>
    <w:rsid w:val="00AB2D37"/>
    <w:rsid w:val="00B04DBC"/>
    <w:rsid w:val="00B5385F"/>
    <w:rsid w:val="00B7591C"/>
    <w:rsid w:val="00BD2028"/>
    <w:rsid w:val="00BF43A1"/>
    <w:rsid w:val="00C2548D"/>
    <w:rsid w:val="00C46546"/>
    <w:rsid w:val="00C52A81"/>
    <w:rsid w:val="00C5714A"/>
    <w:rsid w:val="00CB5CD2"/>
    <w:rsid w:val="00D30692"/>
    <w:rsid w:val="00D56D0B"/>
    <w:rsid w:val="00D84214"/>
    <w:rsid w:val="00D9313D"/>
    <w:rsid w:val="00DC4657"/>
    <w:rsid w:val="00E05F00"/>
    <w:rsid w:val="00E41BDF"/>
    <w:rsid w:val="00E510FE"/>
    <w:rsid w:val="00E64B91"/>
    <w:rsid w:val="00E738BF"/>
    <w:rsid w:val="00E77B6F"/>
    <w:rsid w:val="00E8142A"/>
    <w:rsid w:val="00E91263"/>
    <w:rsid w:val="00F05598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Tomasz Klaja</cp:lastModifiedBy>
  <cp:revision>2</cp:revision>
  <cp:lastPrinted>2020-11-16T11:37:00Z</cp:lastPrinted>
  <dcterms:created xsi:type="dcterms:W3CDTF">2021-05-06T10:13:00Z</dcterms:created>
  <dcterms:modified xsi:type="dcterms:W3CDTF">2021-05-06T10:13:00Z</dcterms:modified>
</cp:coreProperties>
</file>