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>rocznika aplikacji sędziowskiej uzupełniającej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FE072D">
        <w:t>XII</w:t>
      </w:r>
      <w:r w:rsidR="00ED3D4A">
        <w:t>I</w:t>
      </w:r>
      <w:r w:rsidRPr="00BD2028">
        <w:t xml:space="preserve"> zjeździe za okres praktyki od </w:t>
      </w:r>
      <w:r w:rsidR="00ED3D4A">
        <w:t>22</w:t>
      </w:r>
      <w:r w:rsidR="009E5BBC">
        <w:t xml:space="preserve"> lutego 2021</w:t>
      </w:r>
      <w:r w:rsidRPr="00BD2028">
        <w:t xml:space="preserve"> r. do </w:t>
      </w:r>
      <w:r w:rsidR="00ED3D4A">
        <w:t>5 marca</w:t>
      </w:r>
      <w:r w:rsidR="009E5BBC">
        <w:t xml:space="preserve"> 2021</w:t>
      </w:r>
      <w:r w:rsidRPr="00BD2028">
        <w:t xml:space="preserve"> r.</w:t>
      </w:r>
    </w:p>
    <w:p w:rsidR="00383E39" w:rsidRPr="00BD2028" w:rsidRDefault="00383E39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bookmarkStart w:id="0" w:name="_GoBack"/>
      <w:bookmarkEnd w:id="0"/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ED3D4A" w:rsidP="00ED3D4A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po wpłynięciu pozwu i przydzieleniu sprawy do referatu sędziego związanymi z kontrolą pozwu pod względem formalnym (w tym oceny prawidłowego sformułowania żądania pozwu  i podstawy faktycznej żądania) oraz fiskalnym, badaniem braku przeszkód procesowych (w szczególności niedopuszczalności drogi sądowej, braku jurysdykcji krajowej, czy zdolności sądowej i procesowej), reprezentacji stron, właściwości sądu, oceny żądania z punktu widzenia oczywistej bezzasadności powództwa – art. 191/1/ </w:t>
            </w:r>
            <w:proofErr w:type="spellStart"/>
            <w:r>
              <w:t>kpc</w:t>
            </w:r>
            <w:proofErr w:type="spellEnd"/>
            <w:r w:rsidR="001404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E5BBC" w:rsidRPr="00591B3A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25979">
              <w:t>Zapozna</w:t>
            </w:r>
            <w:r>
              <w:t>wa</w:t>
            </w:r>
            <w:r w:rsidRPr="00625979">
              <w:t xml:space="preserve">nie się  ze sprawami, w których zgłoszono wniosek o zwolnienie od kosztów sądowych i </w:t>
            </w:r>
            <w:r>
              <w:t xml:space="preserve">ustanowienie pełnomocnika procesowego z urzędu, a także </w:t>
            </w:r>
            <w:r w:rsidRPr="00625979">
              <w:t>z przebiegiem czynności przewodniczącego celem rozpoznania tego wniosku</w:t>
            </w:r>
            <w:r>
              <w:t>.</w:t>
            </w:r>
          </w:p>
          <w:p w:rsidR="0056320E" w:rsidRPr="00C76A25" w:rsidRDefault="0056320E" w:rsidP="0056320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28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Zapoznawanie się z aktami spraw, w których zgłoszono żądania: stwierdzenia nieważności czynności prawnych, w tym także dotyczącymi wad oświadczeń woli oraz sprawami dotyczącymi ustalenia bezskuteczności czynności prawnych, w tym  sprawami dotyczącymi skarg </w:t>
            </w:r>
            <w:proofErr w:type="spellStart"/>
            <w:r>
              <w:t>pauliańskich</w:t>
            </w:r>
            <w:proofErr w:type="spellEnd"/>
            <w:r>
              <w:t xml:space="preserve"> i sprawami rozpoznawanymi na podst. art. 59 k.c..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spraw, w których występowały podstawowe rodzaje współuczestnictwa (formalne, materialne zwykłe).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722021">
        <w:trPr>
          <w:trHeight w:val="19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 xml:space="preserve">Zapoznanie się z wydawanymi na posiedzeniu </w:t>
            </w:r>
            <w:r>
              <w:t>niejawnym zarządzeniami w przedmiocie zwrotu pozwu, postanowieniami o odrzuceniu pozwu, postanowieniami o stwierdzeniu niewłaściwości miejscowej lub rzeczowej i przekazaniu sprawy sądowi właściwemu, postanowieniami w przedmiocie  zwolnienia od kosztów sądowych i ustanowienia pełnomocnika z urzędu, postanowieniami w przedmiocie sprawdzenia wartości przedmiotu sporu, wyrokiem na posiedzeniu niejawnym wydanym w związku z z</w:t>
            </w:r>
            <w:r w:rsidRPr="00AC4FDC">
              <w:rPr>
                <w:rFonts w:eastAsia="Andale Sans UI"/>
                <w:kern w:val="3"/>
              </w:rPr>
              <w:t>aniechanie</w:t>
            </w:r>
            <w:r>
              <w:rPr>
                <w:rFonts w:eastAsia="Andale Sans UI"/>
                <w:kern w:val="3"/>
              </w:rPr>
              <w:t>m</w:t>
            </w:r>
            <w:r w:rsidRPr="00AC4FDC">
              <w:rPr>
                <w:rFonts w:eastAsia="Andale Sans UI"/>
                <w:kern w:val="3"/>
              </w:rPr>
              <w:t xml:space="preserve"> podejmowania czynności, które ustawa nakazuje podjąć w następstwie wniesienia pozwu, w przypadku oczywistej bezzasadności powództwa (art. 191</w:t>
            </w:r>
            <w:r w:rsidRPr="00AC4FDC">
              <w:rPr>
                <w:rFonts w:eastAsia="Andale Sans UI"/>
                <w:kern w:val="3"/>
                <w:vertAlign w:val="superscript"/>
              </w:rPr>
              <w:t>1</w:t>
            </w:r>
            <w:r w:rsidRPr="00AC4FDC">
              <w:rPr>
                <w:rFonts w:eastAsia="Andale Sans UI"/>
                <w:kern w:val="3"/>
              </w:rPr>
              <w:t xml:space="preserve"> k.p.c.)</w:t>
            </w:r>
            <w:r w:rsidR="00140421">
              <w:rPr>
                <w:rFonts w:eastAsia="Andale Sans UI"/>
                <w:kern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BD3A37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586D19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B5CD2">
              <w:t xml:space="preserve">Zapoznanie się z czynnościami </w:t>
            </w:r>
            <w:r>
              <w:t>wykonywanymi w sekretariacie sądowym, w tym obiegiem dokumentów w sprawach cywilnych, zasadami prowadzenia biurowości elektronicznej, dokumentowania i zakreślania czynności, czynnościami wykonywanymi przez sędziego w elektronicznych urządzeniach ewidencyjnych.</w:t>
            </w:r>
          </w:p>
          <w:p w:rsidR="0056320E" w:rsidRPr="00C76A25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140421">
        <w:trPr>
          <w:trHeight w:val="820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140421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Sporządzanie projektów następujących decyzji procesowych: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Zarządzenia wzywającego do uzupełnienia braków formalnych i fiskalnych pozwu;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 xml:space="preserve">Zarządzenia wzywającego do uzupełnienia braków wniosku o zwolnienie od kosztów sądowych i ustanowienie pełnomocnika z urzędu; 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Zarządzenia wzywającego do wykazania właściwego umocowania do działania za stronę powodową;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Zarządzenia o zwrocie pozwu z uwagi na nieuzupełnienie braków formalnych lub fiskalnych pozwu;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Postanowienia w przedmiocie rozpoznania wniosku o zwolnienie od kosztów sądowych i ustanowienie pełnomocnika procesowego;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Postanowienia w przedmiocie odrzucenia pozwu;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 xml:space="preserve">Postanowienia </w:t>
            </w:r>
            <w:r w:rsidR="00140421">
              <w:t>o stwierdzeniu niewłaściwości (</w:t>
            </w:r>
            <w:r w:rsidRPr="00140421">
              <w:t>miejscowej, rzeczowej) i przekazaniu sprawy sądowi właściwemu;</w:t>
            </w:r>
          </w:p>
          <w:p w:rsidR="00ED3D4A" w:rsidRPr="00140421" w:rsidRDefault="00ED3D4A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 xml:space="preserve">Wyroku  w związku z czynnością podjętą w trybie art. 191 /1/ </w:t>
            </w:r>
            <w:proofErr w:type="spellStart"/>
            <w:r w:rsidRPr="00140421">
              <w:t>kpc</w:t>
            </w:r>
            <w:proofErr w:type="spellEnd"/>
            <w:r w:rsidRPr="00140421">
              <w:t>;</w:t>
            </w:r>
          </w:p>
          <w:p w:rsidR="00ED3D4A" w:rsidRDefault="00ED3D4A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sz w:val="24"/>
                <w:szCs w:val="24"/>
              </w:rPr>
            </w:pPr>
          </w:p>
          <w:p w:rsidR="00ED3D4A" w:rsidRPr="00060D45" w:rsidRDefault="00ED3D4A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140421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Pr="00140421" w:rsidRDefault="00140421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Sporządzanie projektów uzasadnień w/w zarządzeń i orzeczeń (w tych przypadkach, gdy nakazują to przepisy k.p.c.);</w:t>
            </w:r>
          </w:p>
          <w:p w:rsidR="00140421" w:rsidRPr="00140421" w:rsidRDefault="00140421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  <w:p w:rsidR="00140421" w:rsidRPr="00140421" w:rsidRDefault="00140421" w:rsidP="00140421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ED3D4A" w:rsidP="0014042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140421">
              <w:t>Zapoznanie się ze sprawami, w których występują Radcowie Prokuratorii Generalnej RP oraz jednostki samorządu terytorialnego.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7F6CBF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  <w:p w:rsidR="007F6CBF" w:rsidRPr="00140421" w:rsidRDefault="00ED3D4A" w:rsidP="0014042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140421">
              <w:t>Zapoznawanie się ze sprawami, w których wystąpił problem jurysdykcji sądowej.</w:t>
            </w:r>
          </w:p>
          <w:p w:rsidR="00140421" w:rsidRPr="00140421" w:rsidRDefault="00140421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140421" w:rsidP="0014042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t>Sporządzanie projektów następujących decyzji procesowych:</w:t>
            </w:r>
          </w:p>
          <w:p w:rsidR="007F6CBF" w:rsidRPr="00140421" w:rsidRDefault="00140421" w:rsidP="0014042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t xml:space="preserve">postanowienia w przedmiocie wyznaczenia odpowiedniego terminu do uzupełnienia braków w zakresie </w:t>
            </w:r>
            <w:r w:rsidRPr="00140421">
              <w:rPr>
                <w:rFonts w:ascii="Times New Roman" w:hAnsi="Times New Roman"/>
                <w:sz w:val="23"/>
                <w:szCs w:val="23"/>
              </w:rPr>
              <w:lastRenderedPageBreak/>
              <w:t>zdolności sądowej lub procesowej strony, bądź w składzie właściwych organów;</w:t>
            </w:r>
          </w:p>
          <w:p w:rsidR="00140421" w:rsidRPr="00140421" w:rsidRDefault="00140421" w:rsidP="0014042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t>postanowienia w przedmiocie tymczasowego dopuszczenia do czynności strony niemającej zdolności sądowej lub procesowej albo osoby niemającej należytego ustawowego umocowania;</w:t>
            </w:r>
          </w:p>
          <w:p w:rsidR="00140421" w:rsidRPr="00140421" w:rsidRDefault="00140421" w:rsidP="0014042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t>postanowienia o dopuszczeniu tymczasowym do podjęcia naglącej czynności procesowej osoby niemogącej tymczasowo przedstawić pełnomocnictwa;</w:t>
            </w:r>
          </w:p>
          <w:p w:rsidR="00140421" w:rsidRPr="00140421" w:rsidRDefault="00140421" w:rsidP="0014042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t>postanowienia o sprawdzeniu wartości przedmiotu sporu.</w:t>
            </w:r>
          </w:p>
          <w:p w:rsidR="007F6CBF" w:rsidRPr="00140421" w:rsidRDefault="007F6CBF" w:rsidP="001404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140421" w:rsidP="0014042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 w:rsidRPr="00140421">
              <w:rPr>
                <w:rFonts w:ascii="Times New Roman" w:hAnsi="Times New Roman"/>
                <w:sz w:val="23"/>
                <w:szCs w:val="23"/>
              </w:rPr>
              <w:lastRenderedPageBreak/>
              <w:t>Inne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05A3"/>
    <w:rsid w:val="00021356"/>
    <w:rsid w:val="00071C44"/>
    <w:rsid w:val="0007460B"/>
    <w:rsid w:val="00096331"/>
    <w:rsid w:val="000B2A81"/>
    <w:rsid w:val="000F1027"/>
    <w:rsid w:val="00140421"/>
    <w:rsid w:val="00154F28"/>
    <w:rsid w:val="001C651D"/>
    <w:rsid w:val="001D143F"/>
    <w:rsid w:val="002103AB"/>
    <w:rsid w:val="00240A34"/>
    <w:rsid w:val="00253891"/>
    <w:rsid w:val="0027747E"/>
    <w:rsid w:val="002E2C66"/>
    <w:rsid w:val="002F7EAB"/>
    <w:rsid w:val="0034222A"/>
    <w:rsid w:val="00383E39"/>
    <w:rsid w:val="003B7674"/>
    <w:rsid w:val="004163B8"/>
    <w:rsid w:val="004224B1"/>
    <w:rsid w:val="00472AF7"/>
    <w:rsid w:val="00480247"/>
    <w:rsid w:val="004C76C3"/>
    <w:rsid w:val="005037E9"/>
    <w:rsid w:val="00551AB2"/>
    <w:rsid w:val="0056320E"/>
    <w:rsid w:val="00567312"/>
    <w:rsid w:val="00586D19"/>
    <w:rsid w:val="00591B3A"/>
    <w:rsid w:val="005F7BB1"/>
    <w:rsid w:val="006F08E9"/>
    <w:rsid w:val="00722021"/>
    <w:rsid w:val="007B320B"/>
    <w:rsid w:val="007B6F51"/>
    <w:rsid w:val="007C5643"/>
    <w:rsid w:val="007F104A"/>
    <w:rsid w:val="007F6CBF"/>
    <w:rsid w:val="00887D60"/>
    <w:rsid w:val="008E1937"/>
    <w:rsid w:val="009C20E9"/>
    <w:rsid w:val="009E5BBC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17715"/>
    <w:rsid w:val="00C2548D"/>
    <w:rsid w:val="00C46546"/>
    <w:rsid w:val="00C52A81"/>
    <w:rsid w:val="00CB5CD2"/>
    <w:rsid w:val="00D30692"/>
    <w:rsid w:val="00D56D0B"/>
    <w:rsid w:val="00D643FA"/>
    <w:rsid w:val="00D73282"/>
    <w:rsid w:val="00D84214"/>
    <w:rsid w:val="00D9313D"/>
    <w:rsid w:val="00DC4657"/>
    <w:rsid w:val="00E41BDF"/>
    <w:rsid w:val="00E510FE"/>
    <w:rsid w:val="00E64B91"/>
    <w:rsid w:val="00E8142A"/>
    <w:rsid w:val="00E91263"/>
    <w:rsid w:val="00ED3D4A"/>
    <w:rsid w:val="00F4241A"/>
    <w:rsid w:val="00F61127"/>
    <w:rsid w:val="00F957B8"/>
    <w:rsid w:val="00FB2F3B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9A8C-3EA2-4E1F-9C73-DFBD46F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4</cp:revision>
  <cp:lastPrinted>2018-08-28T07:11:00Z</cp:lastPrinted>
  <dcterms:created xsi:type="dcterms:W3CDTF">2021-01-29T09:12:00Z</dcterms:created>
  <dcterms:modified xsi:type="dcterms:W3CDTF">2021-01-29T10:09:00Z</dcterms:modified>
</cp:coreProperties>
</file>