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>po VI zjeździe za okres praktyki od 3 listopada 2020 r. do 20 listopada 2020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Zapoznanie się z czynnościami wykonywanymi przez przewodniczącego wydziału w związku z kontrolą formalną aktu oskarżenia (wniosku o warunkowe umorzenie postępowania)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D2" w:rsidRPr="00CB5CD2" w:rsidRDefault="00CB5CD2" w:rsidP="00CB5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CB5CD2" w:rsidRPr="00CB5CD2" w:rsidRDefault="00CB5CD2" w:rsidP="00CB5CD2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B04DBC" w:rsidRPr="00CB5CD2" w:rsidRDefault="00CB5CD2" w:rsidP="00CB5CD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 w:rsidRPr="00CB5CD2">
              <w:t>- braku faktycznych podstaw oskarżenia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Zapoznanie się z zasadami orzekania wyrokiem na posiedzeniu, z przebiegiem czynności wykonywanych na posiedzeniu w sytuacjach skierowania na nie sprawy w związku z wnioskiem prokuratora złożonym w trybie art. 335 k.p.k., wnioskiem o warunkowe umorzenie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Zapoznanie się z wydawanymi na posiedzeniu decyzjami w zakresie zmiany trybu postępowania, stwierdzania niewłaściwości sądu, dotyczącymi środków zapobiegawczych i kierowaniem sprawy do postępowania mediacyjnego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>Zapoznanie się z czynnościami polegającymi na przygotowaniu do rozprawy głównej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bookmarkStart w:id="1" w:name="_GoBack"/>
            <w:bookmarkEnd w:id="1"/>
            <w:r>
              <w:lastRenderedPageBreak/>
              <w:t>O</w:t>
            </w:r>
            <w:r w:rsidRPr="00CB5CD2">
              <w:t>pracowywanie projektów orzeczeń wydanych na skutek wniosku prokuratora w przedmiocie umorzenia postępowania i orzeczenia środka zabezpieczającego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0B" w:rsidRPr="0007460B" w:rsidRDefault="0007460B" w:rsidP="0007460B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A151CA" w:rsidP="00A151CA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103AB"/>
    <w:rsid w:val="00240A34"/>
    <w:rsid w:val="0027747E"/>
    <w:rsid w:val="002E2C66"/>
    <w:rsid w:val="002F7EAB"/>
    <w:rsid w:val="0034222A"/>
    <w:rsid w:val="003B7674"/>
    <w:rsid w:val="004163B8"/>
    <w:rsid w:val="004224B1"/>
    <w:rsid w:val="00480247"/>
    <w:rsid w:val="005037E9"/>
    <w:rsid w:val="00567312"/>
    <w:rsid w:val="007B320B"/>
    <w:rsid w:val="007B6F51"/>
    <w:rsid w:val="00887D60"/>
    <w:rsid w:val="009C20E9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B5CD2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2018-08-28T07:11:00Z</cp:lastPrinted>
  <dcterms:created xsi:type="dcterms:W3CDTF">2020-09-30T09:42:00Z</dcterms:created>
  <dcterms:modified xsi:type="dcterms:W3CDTF">2020-09-30T09:42:00Z</dcterms:modified>
</cp:coreProperties>
</file>