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bookmarkStart w:id="0" w:name="_GoBack"/>
      <w:bookmarkEnd w:id="0"/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aplikacji sędziowskiej/prokuratorskiej</w:t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Sądzie/Prokuraturze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673B54">
        <w:trPr>
          <w:trHeight w:val="60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5E" w:rsidRPr="001827AF" w:rsidRDefault="00AC1E5E" w:rsidP="00AD0A0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>Zapoznawanie się ak</w:t>
            </w:r>
            <w:r w:rsidR="001827AF">
              <w:rPr>
                <w:b/>
                <w:sz w:val="22"/>
                <w:szCs w:val="22"/>
              </w:rPr>
              <w:t>tami spraw</w:t>
            </w:r>
            <w:r w:rsidR="00805812">
              <w:rPr>
                <w:b/>
                <w:sz w:val="22"/>
                <w:szCs w:val="22"/>
              </w:rPr>
              <w:t xml:space="preserve"> (innych niż wymienione w pkt </w:t>
            </w:r>
            <w:r w:rsidR="00673B54">
              <w:rPr>
                <w:b/>
                <w:sz w:val="22"/>
                <w:szCs w:val="22"/>
              </w:rPr>
              <w:t>6</w:t>
            </w:r>
            <w:r w:rsidR="00805812">
              <w:rPr>
                <w:b/>
                <w:sz w:val="22"/>
                <w:szCs w:val="22"/>
              </w:rPr>
              <w:t>) oraz z wydanymi w nich orzeczeniami wraz z uzasadnieniem</w:t>
            </w:r>
            <w:r w:rsidR="001827AF">
              <w:rPr>
                <w:b/>
                <w:sz w:val="22"/>
                <w:szCs w:val="22"/>
              </w:rPr>
              <w:t>, w których</w:t>
            </w:r>
            <w:r w:rsidRPr="001827AF">
              <w:rPr>
                <w:b/>
                <w:sz w:val="22"/>
                <w:szCs w:val="22"/>
              </w:rPr>
              <w:t>:</w:t>
            </w:r>
          </w:p>
          <w:p w:rsidR="00BF5777" w:rsidRDefault="00BF5777" w:rsidP="00BF5777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BF5777">
              <w:rPr>
                <w:rFonts w:ascii="Times New Roman" w:hAnsi="Times New Roman"/>
              </w:rPr>
              <w:t>zgłoszono powództwo opozycyjne wynikające z art. 840 § 1 i 2 k.p.c.</w:t>
            </w:r>
            <w:r w:rsidR="008D767C">
              <w:rPr>
                <w:rFonts w:ascii="Times New Roman" w:hAnsi="Times New Roman"/>
              </w:rPr>
              <w:t>,</w:t>
            </w:r>
          </w:p>
          <w:p w:rsidR="00BF5777" w:rsidRDefault="00BF5777" w:rsidP="00BF5777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BF5777">
              <w:rPr>
                <w:rFonts w:ascii="Times New Roman" w:hAnsi="Times New Roman"/>
              </w:rPr>
              <w:t xml:space="preserve">zgłoszono powództwo </w:t>
            </w:r>
            <w:proofErr w:type="spellStart"/>
            <w:r w:rsidRPr="00BF5777">
              <w:rPr>
                <w:rFonts w:ascii="Times New Roman" w:hAnsi="Times New Roman"/>
              </w:rPr>
              <w:t>ekscydencyjne</w:t>
            </w:r>
            <w:proofErr w:type="spellEnd"/>
            <w:r w:rsidRPr="00BF5777">
              <w:rPr>
                <w:rFonts w:ascii="Times New Roman" w:hAnsi="Times New Roman"/>
              </w:rPr>
              <w:t xml:space="preserve"> z art.</w:t>
            </w:r>
            <w:r>
              <w:rPr>
                <w:rFonts w:ascii="Times New Roman" w:hAnsi="Times New Roman"/>
              </w:rPr>
              <w:t xml:space="preserve"> </w:t>
            </w:r>
            <w:r w:rsidRPr="00BF5777">
              <w:rPr>
                <w:rFonts w:ascii="Times New Roman" w:hAnsi="Times New Roman"/>
              </w:rPr>
              <w:t>841 k.p.c.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E42180" w:rsidP="00E4218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podstawą rozstrzygnięcia było uwzględnienie zarzutu nadużycia prawa podmiotowego lub zasad współżycia społecznego (art. 5 k.c.)</w:t>
            </w:r>
            <w:r w:rsidR="008D767C">
              <w:rPr>
                <w:rFonts w:ascii="Times New Roman" w:hAnsi="Times New Roman"/>
              </w:rPr>
              <w:t>,</w:t>
            </w:r>
          </w:p>
          <w:p w:rsidR="00E42180" w:rsidRDefault="00E42180" w:rsidP="00E4218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powództwo zostało oddalone w wyniku uwzględnienia zarzutu przedawnienia oraz wskutek wzięcia pod uwagę upływu terminu przedawnienia przez sąd z urzędu</w:t>
            </w:r>
            <w:r w:rsidR="008D767C">
              <w:rPr>
                <w:rFonts w:ascii="Times New Roman" w:hAnsi="Times New Roman"/>
              </w:rPr>
              <w:t>,</w:t>
            </w:r>
          </w:p>
          <w:p w:rsidR="00E42180" w:rsidRDefault="00E42180" w:rsidP="00E4218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sąd wyg</w:t>
            </w:r>
            <w:r w:rsidR="008D767C">
              <w:rPr>
                <w:rFonts w:ascii="Times New Roman" w:hAnsi="Times New Roman"/>
              </w:rPr>
              <w:t>łosił ustne uzasadnienie wyroku,</w:t>
            </w:r>
          </w:p>
          <w:p w:rsidR="00E42180" w:rsidRPr="00805812" w:rsidRDefault="00E42180" w:rsidP="00E4218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sąd ograniczył pisemne uzasadnienie do części wyroku (art. 328 </w:t>
            </w:r>
            <w:r w:rsidRPr="00BF5777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3 k.p.c</w:t>
            </w:r>
            <w:r w:rsidRPr="00673B54">
              <w:rPr>
                <w:rFonts w:ascii="Times New Roman" w:hAnsi="Times New Roman"/>
              </w:rPr>
              <w:t>.)</w:t>
            </w:r>
            <w:r w:rsidR="008D767C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673B54">
        <w:trPr>
          <w:trHeight w:val="14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673B5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>posiedzeniu przygotowawczym w sprawie z zakresu tematyki wskazanej w pkt 1</w:t>
            </w:r>
            <w:r w:rsidR="00E4218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3B54">
              <w:rPr>
                <w:b/>
                <w:sz w:val="22"/>
                <w:szCs w:val="22"/>
              </w:rPr>
              <w:t xml:space="preserve">a) – b) </w:t>
            </w:r>
            <w:r>
              <w:rPr>
                <w:b/>
                <w:sz w:val="22"/>
                <w:szCs w:val="22"/>
              </w:rPr>
              <w:t>bądź w innej, w której takie posiedzenie się odbędzie.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673B54">
        <w:trPr>
          <w:trHeight w:val="14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E42180" w:rsidP="00673B5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rozprawach dotyczących spraw z tematyki wskazanej w </w:t>
            </w:r>
            <w:r w:rsidR="00673B54">
              <w:rPr>
                <w:b/>
                <w:sz w:val="22"/>
                <w:szCs w:val="22"/>
              </w:rPr>
              <w:t>pkt</w:t>
            </w:r>
            <w:r w:rsidRPr="001827AF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>.</w:t>
            </w:r>
            <w:r w:rsidRPr="001827AF">
              <w:rPr>
                <w:b/>
                <w:sz w:val="22"/>
                <w:szCs w:val="22"/>
              </w:rPr>
              <w:t xml:space="preserve"> </w:t>
            </w:r>
            <w:r w:rsidR="00673B54">
              <w:rPr>
                <w:b/>
                <w:sz w:val="22"/>
                <w:szCs w:val="22"/>
              </w:rPr>
              <w:t xml:space="preserve">a) – b) </w:t>
            </w:r>
            <w:r w:rsidRPr="001827AF">
              <w:rPr>
                <w:b/>
                <w:sz w:val="22"/>
                <w:szCs w:val="22"/>
              </w:rPr>
              <w:t>na etapie przeprowadzania w nich postępowania dowodowego</w:t>
            </w:r>
            <w:r w:rsidR="00673B5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DE1D27" w:rsidRPr="001827AF" w:rsidTr="00673B54">
        <w:trPr>
          <w:trHeight w:val="104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80581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lastRenderedPageBreak/>
              <w:t>Zapoznawanie się ak</w:t>
            </w:r>
            <w:r>
              <w:rPr>
                <w:b/>
                <w:sz w:val="22"/>
                <w:szCs w:val="22"/>
              </w:rPr>
              <w:t xml:space="preserve">tami spraw (innych niż wymienione w pkt </w:t>
            </w:r>
            <w:r w:rsidR="00673B5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) oraz z wydanymi w nich orzeczeniami wraz z uzasadnieniem</w:t>
            </w:r>
            <w:r w:rsidR="00673B54">
              <w:rPr>
                <w:b/>
                <w:sz w:val="22"/>
                <w:szCs w:val="22"/>
              </w:rPr>
              <w:t xml:space="preserve"> (pozytywnymi i negatywnymi)</w:t>
            </w:r>
            <w:r>
              <w:rPr>
                <w:b/>
                <w:sz w:val="22"/>
                <w:szCs w:val="22"/>
              </w:rPr>
              <w:t>, w których</w:t>
            </w:r>
            <w:r w:rsidRPr="001827AF">
              <w:rPr>
                <w:b/>
                <w:sz w:val="22"/>
                <w:szCs w:val="22"/>
              </w:rPr>
              <w:t>:</w:t>
            </w:r>
          </w:p>
          <w:p w:rsid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tytułowi egzekucyjnemu w postaci aktu notarialnego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oddalono wniosek o nadanie klauzuli wykonalności z uwagi na przedawnienie lub sprzeczność obowiązku objętego tytułem egzekucyjnym z prawem albo obejście prawa (art. 782</w:t>
            </w:r>
            <w:r w:rsidRPr="00805812">
              <w:rPr>
                <w:rFonts w:ascii="Times New Roman" w:hAnsi="Times New Roman"/>
                <w:vertAlign w:val="superscript"/>
              </w:rPr>
              <w:t>1</w:t>
            </w:r>
            <w:r w:rsidRPr="00805812">
              <w:rPr>
                <w:rFonts w:ascii="Times New Roman" w:hAnsi="Times New Roman"/>
              </w:rPr>
              <w:t xml:space="preserve"> k.p.c.)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przeciwko małżonkowi dłużnika,</w:t>
            </w:r>
          </w:p>
          <w:p w:rsid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przeciwko wspólnikowi spółki osobowej prawa handlowego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przeciwko kuratorowi spadku, wykonawcy testamentu, zarządcy mady majątkowej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P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  <w:lang w:val="pl"/>
              </w:rPr>
              <w:t>przedmiotem żądania i rozpoznania było nadanie klauzuli wykonalności przeciwko dłużnikowi lub na rzecz wierzyciela w związku z przejściem praw lub obowiązków w oparciu o art 788 k.p.c. (m.in. spadkobranie, cesja wierzytelności)</w:t>
            </w:r>
            <w:r w:rsidR="008D767C">
              <w:rPr>
                <w:rFonts w:ascii="Times New Roman" w:hAnsi="Times New Roman"/>
                <w:lang w:val="pl"/>
              </w:rPr>
              <w:t>,</w:t>
            </w:r>
          </w:p>
          <w:p w:rsidR="00805812" w:rsidRPr="00805812" w:rsidRDefault="00805812" w:rsidP="00805812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  <w:lang w:val="pl"/>
              </w:rPr>
              <w:t>przedmiotem żądania i rozpoznania było wydanie zaświadczenia Europejskiego Tytułu Egzekucyjnego (rozporządzenie nr 804/2005)</w:t>
            </w:r>
            <w:r>
              <w:rPr>
                <w:rFonts w:ascii="Times New Roman" w:hAnsi="Times New Roman"/>
                <w:lang w:val="pl"/>
              </w:rPr>
              <w:t>.</w:t>
            </w:r>
            <w:r w:rsidRPr="00805812">
              <w:rPr>
                <w:rFonts w:ascii="Times New Roman" w:hAnsi="Times New Roman"/>
                <w:lang w:val="pl"/>
              </w:rPr>
              <w:t xml:space="preserve"> </w:t>
            </w:r>
          </w:p>
          <w:p w:rsidR="00DE1D27" w:rsidRPr="001827AF" w:rsidRDefault="00DE1D27" w:rsidP="00805812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183C7A">
        <w:trPr>
          <w:trHeight w:val="140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673B5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>posiedzeniach niejawnych</w:t>
            </w:r>
            <w:r w:rsidRPr="001827AF">
              <w:rPr>
                <w:b/>
                <w:sz w:val="22"/>
                <w:szCs w:val="22"/>
              </w:rPr>
              <w:t xml:space="preserve"> dotyczących spraw z tematyki wskazanej w </w:t>
            </w:r>
            <w:r>
              <w:rPr>
                <w:b/>
                <w:sz w:val="22"/>
                <w:szCs w:val="22"/>
              </w:rPr>
              <w:t xml:space="preserve">pkt </w:t>
            </w:r>
            <w:r w:rsidR="00673B5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625979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04" w:rsidRPr="00673B54" w:rsidRDefault="00673B54" w:rsidP="00673B54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sz w:val="22"/>
                <w:szCs w:val="22"/>
              </w:rPr>
            </w:pPr>
            <w:r w:rsidRPr="00673B54">
              <w:rPr>
                <w:b/>
                <w:sz w:val="22"/>
                <w:szCs w:val="22"/>
              </w:rPr>
              <w:t>Sporządzanie projektów następujących decyzji procesowych:</w:t>
            </w:r>
          </w:p>
          <w:p w:rsidR="008D767C" w:rsidRDefault="008D767C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wyroku uwzględniającego powództwo opozycyjne,</w:t>
            </w:r>
          </w:p>
          <w:p w:rsidR="008D767C" w:rsidRDefault="008D767C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wyroku uwzględniającego powództwo </w:t>
            </w:r>
            <w:proofErr w:type="spellStart"/>
            <w:r>
              <w:rPr>
                <w:rFonts w:ascii="Times New Roman" w:hAnsi="Times New Roman"/>
              </w:rPr>
              <w:t>ekscydencyjne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D767C" w:rsidRDefault="008D767C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postanowienia w przedmiocie </w:t>
            </w:r>
            <w:r>
              <w:rPr>
                <w:rFonts w:ascii="Times New Roman" w:hAnsi="Times New Roman"/>
              </w:rPr>
              <w:lastRenderedPageBreak/>
              <w:t xml:space="preserve">zabezpieczenia roszczenia w sprawach z zakresu wskazanego w </w:t>
            </w:r>
            <w:proofErr w:type="spellStart"/>
            <w:r>
              <w:rPr>
                <w:rFonts w:ascii="Times New Roman" w:hAnsi="Times New Roman"/>
              </w:rPr>
              <w:t>ppkt</w:t>
            </w:r>
            <w:proofErr w:type="spellEnd"/>
            <w:r>
              <w:rPr>
                <w:rFonts w:ascii="Times New Roman" w:hAnsi="Times New Roman"/>
              </w:rPr>
              <w:t xml:space="preserve"> a) – b),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 xml:space="preserve">postanowienia w przedmiocie nadania klauzuli wykonalności </w:t>
            </w:r>
            <w:r>
              <w:rPr>
                <w:rFonts w:ascii="Times New Roman" w:hAnsi="Times New Roman"/>
              </w:rPr>
              <w:t>wraz z rozstrzygnięciem o</w:t>
            </w:r>
            <w:r w:rsidRPr="00673B54">
              <w:rPr>
                <w:rFonts w:ascii="Times New Roman" w:hAnsi="Times New Roman"/>
              </w:rPr>
              <w:t xml:space="preserve"> kosztach postępowania klauzulowego w przypadku sądowych tytułów eg</w:t>
            </w:r>
            <w:r>
              <w:rPr>
                <w:rFonts w:ascii="Times New Roman" w:hAnsi="Times New Roman"/>
              </w:rPr>
              <w:t>zekucyjnych,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 xml:space="preserve">postanowienia w przedmiocie nadania klauzuli wykonalności </w:t>
            </w:r>
            <w:r>
              <w:rPr>
                <w:rFonts w:ascii="Times New Roman" w:hAnsi="Times New Roman"/>
              </w:rPr>
              <w:t>wraz z rozstrzygnięciem o</w:t>
            </w:r>
            <w:r w:rsidRPr="00673B54">
              <w:rPr>
                <w:rFonts w:ascii="Times New Roman" w:hAnsi="Times New Roman"/>
              </w:rPr>
              <w:t xml:space="preserve"> kosztach postępowania klauzulowego w przypadku aktu notarialnego,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 xml:space="preserve">postanowienia w przedmiocie nadania klauzuli wykonalności </w:t>
            </w:r>
            <w:r>
              <w:rPr>
                <w:rFonts w:ascii="Times New Roman" w:hAnsi="Times New Roman"/>
              </w:rPr>
              <w:t>wraz z rozstrzygnięciem o</w:t>
            </w:r>
            <w:r w:rsidRPr="00673B54">
              <w:rPr>
                <w:rFonts w:ascii="Times New Roman" w:hAnsi="Times New Roman"/>
              </w:rPr>
              <w:t xml:space="preserve"> kosztach postępowania klauzulowego </w:t>
            </w:r>
            <w:r w:rsidR="008D767C">
              <w:rPr>
                <w:rFonts w:ascii="Times New Roman" w:hAnsi="Times New Roman"/>
              </w:rPr>
              <w:t>w przypadku tzw.</w:t>
            </w:r>
            <w:r w:rsidRPr="00673B54">
              <w:rPr>
                <w:rFonts w:ascii="Times New Roman" w:hAnsi="Times New Roman"/>
              </w:rPr>
              <w:t xml:space="preserve"> klauzuli translatywnej,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>postanowienia w przedmiocie nadania klauzuli wykonalności przeciwko małżonkowi dłużnika, spadkobiercy, wspólnikowi spółki osobowej prawa handlowego,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 xml:space="preserve">postanowienia w przedmiocie wydania zaświadczenia Europejskiego Tytułu Egzekucyjnego (ETE), 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>zaświadczenia ETE według formularza stanowiącego załącznik nr I do rozporządzenia nr 805/2004,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 xml:space="preserve">uzasadnień orzeczeń wskazanych w </w:t>
            </w:r>
            <w:proofErr w:type="spellStart"/>
            <w:r w:rsidR="008D767C">
              <w:rPr>
                <w:rFonts w:ascii="Times New Roman" w:hAnsi="Times New Roman"/>
              </w:rPr>
              <w:t>ppkt</w:t>
            </w:r>
            <w:proofErr w:type="spellEnd"/>
            <w:r w:rsidR="008D767C">
              <w:rPr>
                <w:rFonts w:ascii="Times New Roman" w:hAnsi="Times New Roman"/>
              </w:rPr>
              <w:t>. a) – h),</w:t>
            </w:r>
          </w:p>
          <w:p w:rsidR="00673B54" w:rsidRPr="00673B54" w:rsidRDefault="00673B54" w:rsidP="00673B54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/>
              </w:rPr>
            </w:pPr>
            <w:r w:rsidRPr="00673B54">
              <w:rPr>
                <w:rFonts w:ascii="Times New Roman" w:hAnsi="Times New Roman"/>
              </w:rPr>
              <w:t>uzasadnień orzeczeń o kosztach postępowania klauzulowego,</w:t>
            </w:r>
          </w:p>
          <w:p w:rsidR="00050604" w:rsidRPr="001827AF" w:rsidRDefault="00050604" w:rsidP="00AD0A0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1827AF" w:rsidRDefault="00625979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1827AF" w:rsidRDefault="00625979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lastRenderedPageBreak/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Pr="001827AF" w:rsidRDefault="009801B2" w:rsidP="009801B2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Zapoznanie się z t</w:t>
            </w:r>
            <w:r w:rsidR="006C7061">
              <w:rPr>
                <w:sz w:val="22"/>
                <w:szCs w:val="22"/>
              </w:rPr>
              <w:t>echniczn</w:t>
            </w:r>
            <w:r>
              <w:rPr>
                <w:sz w:val="22"/>
                <w:szCs w:val="22"/>
              </w:rPr>
              <w:t>ą</w:t>
            </w:r>
            <w:r w:rsidR="006C7061">
              <w:rPr>
                <w:sz w:val="22"/>
                <w:szCs w:val="22"/>
              </w:rPr>
              <w:t xml:space="preserve"> stron</w:t>
            </w:r>
            <w:r>
              <w:rPr>
                <w:sz w:val="22"/>
                <w:szCs w:val="22"/>
              </w:rPr>
              <w:t>ą</w:t>
            </w:r>
            <w:r w:rsidR="006C7061">
              <w:rPr>
                <w:sz w:val="22"/>
                <w:szCs w:val="22"/>
              </w:rPr>
              <w:t xml:space="preserve"> sporządzania tytułu wykonawczego zarówno w przypadku tytułu egzekucyjnego pochodzącego od sądu (orzeczenie, ugoda sądowa), jak i pozasądowego (akt notarialny)</w:t>
            </w:r>
            <w:r w:rsidR="008D767C">
              <w:rPr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6C7061" w:rsidP="00682B4C">
            <w:pPr>
              <w:pStyle w:val="Akapitzlist"/>
              <w:numPr>
                <w:ilvl w:val="0"/>
                <w:numId w:val="12"/>
              </w:numPr>
              <w:overflowPunct w:val="0"/>
              <w:jc w:val="both"/>
            </w:pPr>
            <w:r>
              <w:rPr>
                <w:rFonts w:ascii="Times New Roman" w:hAnsi="Times New Roman"/>
              </w:rPr>
              <w:t>Wypełnianie formularza nr I zaświadczenia ETE przy wykorzystaniu strony internetowej „e-</w:t>
            </w:r>
            <w:proofErr w:type="spellStart"/>
            <w:r>
              <w:rPr>
                <w:rFonts w:ascii="Times New Roman" w:hAnsi="Times New Roman"/>
              </w:rPr>
              <w:t>justice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lastRenderedPageBreak/>
        <w:t xml:space="preserve">Ocena przebiegu praktyki </w:t>
      </w:r>
      <w:r w:rsidRPr="001827AF">
        <w:tab/>
      </w:r>
      <w:bookmarkEnd w:id="2"/>
    </w:p>
    <w:p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Predyspozycje aplikanta do pracy na stanowisku sędziego lub prokuratora</w:t>
      </w:r>
    </w:p>
    <w:p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Dodatkowe uwagi patrona, dotyczące aplikanta lub przebiegu praktyki</w:t>
      </w:r>
    </w:p>
    <w:p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98" w:rsidRDefault="00201C98" w:rsidP="00BF15AB">
      <w:r>
        <w:separator/>
      </w:r>
    </w:p>
  </w:endnote>
  <w:endnote w:type="continuationSeparator" w:id="0">
    <w:p w:rsidR="00201C98" w:rsidRDefault="00201C98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98" w:rsidRDefault="00201C98" w:rsidP="00BF15AB">
      <w:r>
        <w:separator/>
      </w:r>
    </w:p>
  </w:footnote>
  <w:footnote w:type="continuationSeparator" w:id="0">
    <w:p w:rsidR="00201C98" w:rsidRDefault="00201C98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785CCA84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8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5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6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9"/>
  </w:num>
  <w:num w:numId="9">
    <w:abstractNumId w:val="2"/>
  </w:num>
  <w:num w:numId="10">
    <w:abstractNumId w:val="23"/>
  </w:num>
  <w:num w:numId="11">
    <w:abstractNumId w:val="16"/>
  </w:num>
  <w:num w:numId="12">
    <w:abstractNumId w:val="19"/>
  </w:num>
  <w:num w:numId="13">
    <w:abstractNumId w:val="26"/>
  </w:num>
  <w:num w:numId="14">
    <w:abstractNumId w:val="20"/>
  </w:num>
  <w:num w:numId="15">
    <w:abstractNumId w:val="3"/>
  </w:num>
  <w:num w:numId="16">
    <w:abstractNumId w:val="10"/>
  </w:num>
  <w:num w:numId="17">
    <w:abstractNumId w:val="17"/>
  </w:num>
  <w:num w:numId="18">
    <w:abstractNumId w:val="21"/>
  </w:num>
  <w:num w:numId="19">
    <w:abstractNumId w:val="6"/>
  </w:num>
  <w:num w:numId="20">
    <w:abstractNumId w:val="22"/>
  </w:num>
  <w:num w:numId="21">
    <w:abstractNumId w:val="15"/>
  </w:num>
  <w:num w:numId="22">
    <w:abstractNumId w:val="1"/>
  </w:num>
  <w:num w:numId="23">
    <w:abstractNumId w:val="25"/>
  </w:num>
  <w:num w:numId="24">
    <w:abstractNumId w:val="11"/>
  </w:num>
  <w:num w:numId="25">
    <w:abstractNumId w:val="14"/>
  </w:num>
  <w:num w:numId="26">
    <w:abstractNumId w:val="13"/>
  </w:num>
  <w:num w:numId="27">
    <w:abstractNumId w:val="18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31456"/>
    <w:rsid w:val="00050604"/>
    <w:rsid w:val="00071C44"/>
    <w:rsid w:val="0007460B"/>
    <w:rsid w:val="00096331"/>
    <w:rsid w:val="000A20A2"/>
    <w:rsid w:val="000B2A81"/>
    <w:rsid w:val="000F1027"/>
    <w:rsid w:val="001111AF"/>
    <w:rsid w:val="00143C5C"/>
    <w:rsid w:val="00154F28"/>
    <w:rsid w:val="001827AF"/>
    <w:rsid w:val="00183C7A"/>
    <w:rsid w:val="00184AE4"/>
    <w:rsid w:val="001C651D"/>
    <w:rsid w:val="001F1392"/>
    <w:rsid w:val="001F2511"/>
    <w:rsid w:val="00201C98"/>
    <w:rsid w:val="002241B6"/>
    <w:rsid w:val="00240A34"/>
    <w:rsid w:val="0027747E"/>
    <w:rsid w:val="00290030"/>
    <w:rsid w:val="002B2CA6"/>
    <w:rsid w:val="002C05D1"/>
    <w:rsid w:val="002D62EA"/>
    <w:rsid w:val="002E2C66"/>
    <w:rsid w:val="002F7EAB"/>
    <w:rsid w:val="0032020B"/>
    <w:rsid w:val="003369AB"/>
    <w:rsid w:val="0034222A"/>
    <w:rsid w:val="00347D7D"/>
    <w:rsid w:val="00374909"/>
    <w:rsid w:val="003B7674"/>
    <w:rsid w:val="0040480F"/>
    <w:rsid w:val="004163B8"/>
    <w:rsid w:val="004165F4"/>
    <w:rsid w:val="00466B02"/>
    <w:rsid w:val="004776CD"/>
    <w:rsid w:val="00480247"/>
    <w:rsid w:val="004E0378"/>
    <w:rsid w:val="005037E9"/>
    <w:rsid w:val="0055278F"/>
    <w:rsid w:val="00571131"/>
    <w:rsid w:val="00595B9D"/>
    <w:rsid w:val="005B1C64"/>
    <w:rsid w:val="005B4255"/>
    <w:rsid w:val="005C7B22"/>
    <w:rsid w:val="005D62C0"/>
    <w:rsid w:val="00623253"/>
    <w:rsid w:val="00625979"/>
    <w:rsid w:val="006478E6"/>
    <w:rsid w:val="00671349"/>
    <w:rsid w:val="00673B54"/>
    <w:rsid w:val="00682B4C"/>
    <w:rsid w:val="006C0516"/>
    <w:rsid w:val="006C2F19"/>
    <w:rsid w:val="006C7061"/>
    <w:rsid w:val="006D3121"/>
    <w:rsid w:val="00701C2B"/>
    <w:rsid w:val="00742942"/>
    <w:rsid w:val="00742FF1"/>
    <w:rsid w:val="00743ACC"/>
    <w:rsid w:val="007448AA"/>
    <w:rsid w:val="00747E04"/>
    <w:rsid w:val="007B320B"/>
    <w:rsid w:val="007B6F51"/>
    <w:rsid w:val="007D716C"/>
    <w:rsid w:val="007E0081"/>
    <w:rsid w:val="007E21CA"/>
    <w:rsid w:val="007E5B6C"/>
    <w:rsid w:val="00805812"/>
    <w:rsid w:val="00815E04"/>
    <w:rsid w:val="008252A2"/>
    <w:rsid w:val="00880A4E"/>
    <w:rsid w:val="00887532"/>
    <w:rsid w:val="00887D60"/>
    <w:rsid w:val="008A1634"/>
    <w:rsid w:val="008B4AA1"/>
    <w:rsid w:val="008D4D90"/>
    <w:rsid w:val="008D767C"/>
    <w:rsid w:val="00922553"/>
    <w:rsid w:val="009417A2"/>
    <w:rsid w:val="009801B2"/>
    <w:rsid w:val="0098566D"/>
    <w:rsid w:val="009C20E9"/>
    <w:rsid w:val="009D7A73"/>
    <w:rsid w:val="009F5538"/>
    <w:rsid w:val="00A106DB"/>
    <w:rsid w:val="00A11322"/>
    <w:rsid w:val="00A520C7"/>
    <w:rsid w:val="00A53D92"/>
    <w:rsid w:val="00A600B9"/>
    <w:rsid w:val="00AB2D37"/>
    <w:rsid w:val="00AC1E5E"/>
    <w:rsid w:val="00AD0A0D"/>
    <w:rsid w:val="00AD6E2B"/>
    <w:rsid w:val="00AF50DB"/>
    <w:rsid w:val="00B04DBC"/>
    <w:rsid w:val="00B10261"/>
    <w:rsid w:val="00B5385F"/>
    <w:rsid w:val="00B57920"/>
    <w:rsid w:val="00B63DA0"/>
    <w:rsid w:val="00B7591C"/>
    <w:rsid w:val="00BF15AB"/>
    <w:rsid w:val="00BF5777"/>
    <w:rsid w:val="00BF6D68"/>
    <w:rsid w:val="00C05395"/>
    <w:rsid w:val="00C2548D"/>
    <w:rsid w:val="00C258E7"/>
    <w:rsid w:val="00C27DC2"/>
    <w:rsid w:val="00C46546"/>
    <w:rsid w:val="00C51CAC"/>
    <w:rsid w:val="00C52A81"/>
    <w:rsid w:val="00CB5CD2"/>
    <w:rsid w:val="00D04013"/>
    <w:rsid w:val="00D05B22"/>
    <w:rsid w:val="00D30692"/>
    <w:rsid w:val="00D339BB"/>
    <w:rsid w:val="00D4616A"/>
    <w:rsid w:val="00D465BA"/>
    <w:rsid w:val="00D56D0B"/>
    <w:rsid w:val="00D663F3"/>
    <w:rsid w:val="00D84214"/>
    <w:rsid w:val="00D9313D"/>
    <w:rsid w:val="00D96E98"/>
    <w:rsid w:val="00DC4657"/>
    <w:rsid w:val="00DE1D27"/>
    <w:rsid w:val="00DF0379"/>
    <w:rsid w:val="00E33516"/>
    <w:rsid w:val="00E41BDF"/>
    <w:rsid w:val="00E42180"/>
    <w:rsid w:val="00E510FE"/>
    <w:rsid w:val="00E64B91"/>
    <w:rsid w:val="00E8142A"/>
    <w:rsid w:val="00E91263"/>
    <w:rsid w:val="00ED20BF"/>
    <w:rsid w:val="00ED4791"/>
    <w:rsid w:val="00F00EC8"/>
    <w:rsid w:val="00F421A1"/>
    <w:rsid w:val="00F4241A"/>
    <w:rsid w:val="00F50BB2"/>
    <w:rsid w:val="00F61127"/>
    <w:rsid w:val="00F7319C"/>
    <w:rsid w:val="00F7436A"/>
    <w:rsid w:val="00F9199F"/>
    <w:rsid w:val="00F957B8"/>
    <w:rsid w:val="00FC44FC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754F-F016-4D23-A168-E7E94233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2019-11-25T13:23:00Z</dcterms:created>
  <dcterms:modified xsi:type="dcterms:W3CDTF">2019-11-25T13:23:00Z</dcterms:modified>
</cp:coreProperties>
</file>