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</w:pPr>
      <w:bookmarkStart w:id="0" w:name="_GoBack"/>
      <w:bookmarkEnd w:id="0"/>
      <w:r>
        <w:t xml:space="preserve">OPINIA PATRONA PRAKTYKI WRAZ Z OCENĄ PRZEBIEGU PRAKTYKI </w:t>
      </w:r>
    </w:p>
    <w:p w:rsidR="00DE26A1" w:rsidRP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>
        <w:t xml:space="preserve">dotycząca aplikanta aplikacji </w:t>
      </w:r>
      <w:r w:rsidR="00DE26A1">
        <w:t>uzupełniającej sędziowskiej</w:t>
      </w:r>
      <w:r w:rsidR="001B6D96" w:rsidRPr="00DE26A1">
        <w:rPr>
          <w:strike/>
        </w:rPr>
        <w:t xml:space="preserve"> </w:t>
      </w:r>
      <w:r w:rsidR="00DE26A1" w:rsidRPr="00DE26A1">
        <w:rPr>
          <w:sz w:val="16"/>
          <w:szCs w:val="16"/>
        </w:rPr>
        <w:t>………………………………………………………………………………………………</w:t>
      </w:r>
      <w:r w:rsidR="00DE26A1">
        <w:rPr>
          <w:sz w:val="16"/>
          <w:szCs w:val="16"/>
        </w:rPr>
        <w:t>……………………………</w:t>
      </w:r>
    </w:p>
    <w:p w:rsidR="00071C44" w:rsidRPr="00DE26A1" w:rsidRDefault="00DE26A1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i/>
          <w:sz w:val="20"/>
          <w:szCs w:val="20"/>
        </w:rPr>
      </w:pPr>
      <w:r w:rsidRPr="00DE26A1">
        <w:rPr>
          <w:i/>
          <w:sz w:val="20"/>
          <w:szCs w:val="20"/>
        </w:rPr>
        <w:t>(imię i nazwisko aplikanta)</w:t>
      </w:r>
    </w:p>
    <w:p w:rsidR="00DE26A1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>po I</w:t>
      </w:r>
      <w:r w:rsidR="00286102">
        <w:t>X</w:t>
      </w:r>
      <w:r>
        <w:t xml:space="preserve"> zjeździe </w:t>
      </w:r>
      <w:r w:rsidR="00071C44">
        <w:t>za okres praktyki od</w:t>
      </w:r>
      <w:r>
        <w:t xml:space="preserve"> </w:t>
      </w:r>
      <w:r w:rsidR="00286102">
        <w:t xml:space="preserve">14 grudnia 2020 r. </w:t>
      </w:r>
      <w:r w:rsidR="00071C44">
        <w:t>do</w:t>
      </w:r>
      <w:r>
        <w:t xml:space="preserve"> </w:t>
      </w:r>
      <w:r w:rsidR="00286102">
        <w:t xml:space="preserve">8 stycznia 2021 </w:t>
      </w:r>
      <w:r>
        <w:t xml:space="preserve">r., odbywanej </w:t>
      </w:r>
    </w:p>
    <w:p w:rsidR="00071C44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w dniach: ………………………………………………………………………….                         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</w:t>
      </w:r>
      <w:r w:rsidR="00DE26A1">
        <w:t xml:space="preserve"> </w:t>
      </w:r>
      <w:r w:rsidR="00286102">
        <w:t>Okręgowym</w:t>
      </w:r>
      <w:r>
        <w:tab/>
      </w:r>
      <w:r w:rsidR="00DE26A1">
        <w:t>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>spor</w:t>
      </w:r>
      <w:r w:rsidR="00DE26A1">
        <w:t>ządzona przez patrona praktyki ………………………………………………</w:t>
      </w:r>
    </w:p>
    <w:p w:rsidR="00FC19E8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  <w:bookmarkStart w:id="1" w:name="bookmark6"/>
      <w:r w:rsidR="00DE26A1">
        <w:t>…………………………..</w:t>
      </w:r>
    </w:p>
    <w:bookmarkEnd w:id="1"/>
    <w:p w:rsidR="00F013AA" w:rsidRDefault="00F013AA" w:rsidP="00F013AA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</w:p>
    <w:p w:rsidR="00F013AA" w:rsidRDefault="00F013AA" w:rsidP="00F013AA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r>
        <w:t>Przebieg praktyki: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F013AA" w:rsidTr="00F013AA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F013AA" w:rsidTr="00F013AA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F013AA" w:rsidTr="00F013AA">
        <w:trPr>
          <w:trHeight w:val="181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 xml:space="preserve">Zapoznanie się z czynnościami wykonywanymi przez przewodniczącego wydziału w ramach postępowania </w:t>
            </w:r>
            <w:proofErr w:type="spellStart"/>
            <w:r>
              <w:t>międzyinstancyjnego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253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Przygotowywanie projektów decyzji wydawanych w trakcie postępowania </w:t>
            </w:r>
            <w:proofErr w:type="spellStart"/>
            <w:r>
              <w:t>międzyinstancyjnego</w:t>
            </w:r>
            <w:proofErr w:type="spellEnd"/>
            <w:r>
              <w:t>, w tym zarządzeń o przyjęciu bądź odmowie przyjęcia środka odwoławczego oraz postanowień w przedmiocie rozpoznania wniosku o przywrócenie terminu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211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Przygotowywanie projektów orzeczeń związanych z przygotowaniem rozprawy odwoławczej/posiedzenia odwoławczego, w tym zarządzeń o wyznaczeniu rozprawy/posiedzenia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56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Przygotowywanie projektów orzeczeń zapadających w trakcie rozprawy odwoławczej/posiedzenia odwoławczego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4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Przygotowywanie projektów orzeczeń kończących postępowanie odwoławcze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4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lastRenderedPageBreak/>
              <w:t xml:space="preserve">Przygotowywanie projektów uzasadnień podjętych rozstrzygnięć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80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Przygotowanie projektów decyzji związanych z kontrolą kasacji, jaka dokonywana jest na etapie jej wniesienia za pośrednictwem sądu odwoławczego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68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Przygotowanie projektów orzeczeń wraz z uzasadnieniami zapadających w postępowaniu o wznowienie postępowania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69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 w:rsidP="00F013AA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Przygotowanie projektów postanowień dotyczących postępowania w przedmiocie ułaskawienia oraz opinii w sprawie ułaskawienia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F013AA" w:rsidTr="00F013AA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1 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3AA" w:rsidRDefault="00F013A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>
              <w:t>2</w:t>
            </w:r>
            <w: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F013AA" w:rsidTr="00F013AA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AA" w:rsidRDefault="00F013AA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F013AA" w:rsidRDefault="00F013AA" w:rsidP="00F013AA">
      <w:pPr>
        <w:rPr>
          <w:sz w:val="2"/>
          <w:szCs w:val="2"/>
        </w:rPr>
      </w:pPr>
    </w:p>
    <w:p w:rsidR="00F013AA" w:rsidRDefault="00F013AA" w:rsidP="00F013AA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AB1AB5" w:rsidRDefault="00AB1AB5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FC19E8">
          <w:pgSz w:w="11905" w:h="16837"/>
          <w:pgMar w:top="993" w:right="925" w:bottom="70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DE26A1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</w:t>
      </w:r>
      <w:r w:rsidR="00DE26A1">
        <w:t>ednostki, w której odbywa się pr</w:t>
      </w:r>
      <w:r>
        <w:t>aktyka, zdyscyplinowanie, sumienność)</w:t>
      </w:r>
    </w:p>
    <w:p w:rsidR="00071C44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Predyspozycje aplikanta do pracy na stanowisku sędziego lub prokuratora</w:t>
      </w:r>
    </w:p>
    <w:p w:rsidR="00071C44" w:rsidRDefault="00071C44" w:rsidP="00DE26A1">
      <w:pPr>
        <w:pStyle w:val="Teksttreci60"/>
        <w:shd w:val="clear" w:color="auto" w:fill="auto"/>
        <w:spacing w:after="2218" w:line="230" w:lineRule="exact"/>
        <w:jc w:val="both"/>
      </w:pPr>
      <w:r>
        <w:t>Dodatkowe uwagi patrona, dotyczące aplikanta lub przebiegu praktyki</w:t>
      </w:r>
    </w:p>
    <w:p w:rsidR="00DE26A1" w:rsidRPr="003207C8" w:rsidRDefault="00DE26A1" w:rsidP="00DE26A1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DE26A1" w:rsidRPr="003207C8" w:rsidRDefault="00DE26A1" w:rsidP="00DE26A1">
      <w:pPr>
        <w:ind w:left="5664"/>
        <w:rPr>
          <w:i/>
          <w:color w:val="auto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DE26A1" w:rsidRDefault="0034222A" w:rsidP="00DE26A1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sectPr w:rsidR="0034222A" w:rsidRPr="00DE26A1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EB" w:rsidRDefault="00204DEB" w:rsidP="000368C3">
      <w:r>
        <w:separator/>
      </w:r>
    </w:p>
  </w:endnote>
  <w:endnote w:type="continuationSeparator" w:id="0">
    <w:p w:rsidR="00204DEB" w:rsidRDefault="00204DEB" w:rsidP="0003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EB" w:rsidRDefault="00204DEB" w:rsidP="000368C3">
      <w:r>
        <w:separator/>
      </w:r>
    </w:p>
  </w:footnote>
  <w:footnote w:type="continuationSeparator" w:id="0">
    <w:p w:rsidR="00204DEB" w:rsidRDefault="00204DEB" w:rsidP="0003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368C3"/>
    <w:rsid w:val="000667F7"/>
    <w:rsid w:val="00071C44"/>
    <w:rsid w:val="00080095"/>
    <w:rsid w:val="00096331"/>
    <w:rsid w:val="000B2A81"/>
    <w:rsid w:val="000F1027"/>
    <w:rsid w:val="00154F28"/>
    <w:rsid w:val="001838F5"/>
    <w:rsid w:val="001B6D96"/>
    <w:rsid w:val="001C651D"/>
    <w:rsid w:val="00204DEB"/>
    <w:rsid w:val="00240A34"/>
    <w:rsid w:val="00286102"/>
    <w:rsid w:val="002A0419"/>
    <w:rsid w:val="002F6B13"/>
    <w:rsid w:val="003076AE"/>
    <w:rsid w:val="003207C8"/>
    <w:rsid w:val="0034222A"/>
    <w:rsid w:val="0037158A"/>
    <w:rsid w:val="003B7674"/>
    <w:rsid w:val="004163B8"/>
    <w:rsid w:val="0047707E"/>
    <w:rsid w:val="00480247"/>
    <w:rsid w:val="00577DD9"/>
    <w:rsid w:val="005E786D"/>
    <w:rsid w:val="00653701"/>
    <w:rsid w:val="00692315"/>
    <w:rsid w:val="00735087"/>
    <w:rsid w:val="007B320B"/>
    <w:rsid w:val="007B6F51"/>
    <w:rsid w:val="0081580F"/>
    <w:rsid w:val="00860CBE"/>
    <w:rsid w:val="00887D60"/>
    <w:rsid w:val="008B5A84"/>
    <w:rsid w:val="00940B99"/>
    <w:rsid w:val="009C20E9"/>
    <w:rsid w:val="00A11322"/>
    <w:rsid w:val="00A600B9"/>
    <w:rsid w:val="00AB1AB5"/>
    <w:rsid w:val="00AB2D37"/>
    <w:rsid w:val="00AB4954"/>
    <w:rsid w:val="00B42058"/>
    <w:rsid w:val="00B6510A"/>
    <w:rsid w:val="00B7591C"/>
    <w:rsid w:val="00C2548D"/>
    <w:rsid w:val="00C52A81"/>
    <w:rsid w:val="00D30692"/>
    <w:rsid w:val="00D3660F"/>
    <w:rsid w:val="00D45A61"/>
    <w:rsid w:val="00D56D0B"/>
    <w:rsid w:val="00D84214"/>
    <w:rsid w:val="00D9313D"/>
    <w:rsid w:val="00DC4657"/>
    <w:rsid w:val="00DE26A1"/>
    <w:rsid w:val="00E41BDF"/>
    <w:rsid w:val="00E510FE"/>
    <w:rsid w:val="00E91263"/>
    <w:rsid w:val="00F004FC"/>
    <w:rsid w:val="00F013AA"/>
    <w:rsid w:val="00F61127"/>
    <w:rsid w:val="00F957B8"/>
    <w:rsid w:val="00FC19E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Agnieszka Pilch</cp:lastModifiedBy>
  <cp:revision>2</cp:revision>
  <cp:lastPrinted>2018-02-26T11:04:00Z</cp:lastPrinted>
  <dcterms:created xsi:type="dcterms:W3CDTF">2020-12-02T10:00:00Z</dcterms:created>
  <dcterms:modified xsi:type="dcterms:W3CDTF">2020-12-02T10:00:00Z</dcterms:modified>
</cp:coreProperties>
</file>