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3F" w:rsidRPr="006968EB" w:rsidRDefault="00071C44" w:rsidP="001D143F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  <w:rPr>
          <w:b/>
        </w:rPr>
      </w:pPr>
      <w:bookmarkStart w:id="0" w:name="_GoBack"/>
      <w:bookmarkEnd w:id="0"/>
      <w:r w:rsidRPr="006968EB">
        <w:rPr>
          <w:b/>
        </w:rPr>
        <w:t xml:space="preserve">OPINIA PATRONA PRAKTYKI </w:t>
      </w:r>
      <w:r w:rsidR="0007460B" w:rsidRPr="006968EB">
        <w:rPr>
          <w:b/>
        </w:rPr>
        <w:t xml:space="preserve">WRAZ Z OCENĄ PRZEBIEGU PRAKTYKI </w:t>
      </w:r>
      <w:r w:rsidR="00567312" w:rsidRPr="006968EB">
        <w:rPr>
          <w:b/>
        </w:rPr>
        <w:t xml:space="preserve">             </w:t>
      </w:r>
      <w:r w:rsidRPr="006968EB">
        <w:rPr>
          <w:b/>
        </w:rPr>
        <w:t xml:space="preserve">dotycząca </w:t>
      </w:r>
      <w:r w:rsidR="001D143F" w:rsidRPr="006968EB">
        <w:rPr>
          <w:b/>
        </w:rPr>
        <w:t>aplikanta XI</w:t>
      </w:r>
      <w:r w:rsidR="0063692A" w:rsidRPr="006968EB">
        <w:rPr>
          <w:b/>
        </w:rPr>
        <w:t>I</w:t>
      </w:r>
      <w:r w:rsidR="001D143F" w:rsidRPr="006968EB">
        <w:rPr>
          <w:b/>
        </w:rPr>
        <w:t xml:space="preserve"> rocznika aplikacji sędziowskiej 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1D143F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1D143F">
        <w:rPr>
          <w:i/>
          <w:sz w:val="16"/>
          <w:szCs w:val="16"/>
        </w:rPr>
        <w:t>(imię i nazwisko aplikanta)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1D143F" w:rsidRPr="00BD2028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6968EB">
        <w:rPr>
          <w:b/>
        </w:rPr>
        <w:t>po VI zjeździe</w:t>
      </w:r>
      <w:r w:rsidRPr="00BD2028">
        <w:t xml:space="preserve"> za okres praktyki </w:t>
      </w:r>
      <w:r w:rsidRPr="006968EB">
        <w:rPr>
          <w:b/>
        </w:rPr>
        <w:t xml:space="preserve">od </w:t>
      </w:r>
      <w:r w:rsidR="006968EB" w:rsidRPr="006968EB">
        <w:rPr>
          <w:b/>
        </w:rPr>
        <w:t>13</w:t>
      </w:r>
      <w:r w:rsidRPr="006968EB">
        <w:rPr>
          <w:b/>
        </w:rPr>
        <w:t xml:space="preserve"> do </w:t>
      </w:r>
      <w:r w:rsidR="006968EB" w:rsidRPr="006968EB">
        <w:rPr>
          <w:b/>
        </w:rPr>
        <w:t>24</w:t>
      </w:r>
      <w:r w:rsidRPr="006968EB">
        <w:rPr>
          <w:b/>
        </w:rPr>
        <w:t xml:space="preserve"> </w:t>
      </w:r>
      <w:r w:rsidR="006968EB" w:rsidRPr="006968EB">
        <w:rPr>
          <w:b/>
        </w:rPr>
        <w:t>września 2021</w:t>
      </w:r>
      <w:r w:rsidRPr="006968EB">
        <w:rPr>
          <w:b/>
        </w:rPr>
        <w:t xml:space="preserve"> r.</w:t>
      </w:r>
    </w:p>
    <w:p w:rsidR="001D143F" w:rsidRPr="00BD2028" w:rsidRDefault="001D143F" w:rsidP="001D143F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BD2028">
        <w:t>w Sądzie Rejonowym</w:t>
      </w:r>
      <w:r w:rsidRPr="00BD2028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1D143F">
        <w:t xml:space="preserve">sporządzona przez patrona praktyki </w:t>
      </w:r>
      <w:r w:rsidRPr="001D143F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1D143F">
        <w:t>w dniu</w:t>
      </w:r>
      <w:r w:rsidRPr="001D143F">
        <w:tab/>
      </w:r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B04DBC" w:rsidTr="00CB5CD2">
        <w:trPr>
          <w:trHeight w:val="181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CB5CD2" w:rsidRDefault="00CB5CD2" w:rsidP="00CB5CD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CB5CD2">
              <w:t>Zapoznanie się z czynnościami wykonywanymi przez przewodniczącego wydziału w związku z kontrolą formalną aktu oskarżenia (wniosku o warunkowe umorzenie postępowania)</w:t>
            </w:r>
            <w:r w:rsidR="00DC371B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82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CD2" w:rsidRPr="00CB5CD2" w:rsidRDefault="00CB5CD2" w:rsidP="00CB5C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3" w:hangingChars="149" w:hanging="34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B5CD2">
              <w:rPr>
                <w:rFonts w:ascii="Times New Roman" w:hAnsi="Times New Roman"/>
                <w:sz w:val="23"/>
                <w:szCs w:val="23"/>
              </w:rPr>
              <w:t>Zapoznanie się z przebiegiem postępowania w związku z merytoryczną kontrolą aktu oskarżenia w sytuacjach:</w:t>
            </w:r>
          </w:p>
          <w:p w:rsidR="00CB5CD2" w:rsidRPr="00CB5CD2" w:rsidRDefault="00CB5CD2" w:rsidP="00CB5CD2">
            <w:pPr>
              <w:pStyle w:val="Akapitzlist"/>
              <w:spacing w:after="0" w:line="240" w:lineRule="auto"/>
              <w:ind w:left="35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B5CD2">
              <w:rPr>
                <w:rFonts w:ascii="Times New Roman" w:hAnsi="Times New Roman"/>
                <w:sz w:val="23"/>
                <w:szCs w:val="23"/>
              </w:rPr>
              <w:t>- istnienia negatywnych przesłanek postępowania (art. 17 § 1 pkt 2-11 k.p.k.),</w:t>
            </w:r>
          </w:p>
          <w:p w:rsidR="00B04DBC" w:rsidRPr="00CB5CD2" w:rsidRDefault="00CB5CD2" w:rsidP="00CB5CD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358"/>
            </w:pPr>
            <w:r w:rsidRPr="00CB5CD2">
              <w:t>- braku faktycznych podstaw oskarżenia</w:t>
            </w:r>
            <w:r w:rsidR="00DC371B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F91174">
        <w:trPr>
          <w:trHeight w:val="130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CB5CD2" w:rsidRDefault="00DC371B" w:rsidP="00DC371B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DC371B">
              <w:t xml:space="preserve"> </w:t>
            </w:r>
            <w:r>
              <w:t>Przygotowanie projektu postanowienia w przedmiocie właściwości sądu (przekazania sprawy według właściwości).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0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CB5CD2" w:rsidRDefault="00CB5CD2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 w:rsidRPr="00CB5CD2">
              <w:t>Zapoznanie się z czynnościami polegającymi na przygotowaniu do rozprawy głównej</w:t>
            </w:r>
            <w:r w:rsidR="00DC371B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4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CB5CD2" w:rsidRDefault="00CB5CD2" w:rsidP="00B04DBC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O</w:t>
            </w:r>
            <w:r w:rsidRPr="00CB5CD2">
              <w:t>pracowywanie projektów orzeczeń wydanych na skutek wniosku prokuratora w przedmiocie umorzenia postępowania i orzeczenia środka zabezpieczającego</w:t>
            </w:r>
            <w:r w:rsidR="00DC371B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60B" w:rsidRPr="0007460B" w:rsidRDefault="0007460B" w:rsidP="0007460B">
            <w:pPr>
              <w:pStyle w:val="Akapitzlist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Opracowywanie projektów orzeczeń wydawanych w sprawach, o których mowa w art. 337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kpk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i art. 339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kpk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DC371B" w:rsidTr="00DC371B">
        <w:trPr>
          <w:trHeight w:val="1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Pr="00DC371B" w:rsidRDefault="00DC371B" w:rsidP="00541953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rPr>
                <w:rFonts w:eastAsia="Calibri"/>
              </w:rPr>
            </w:pPr>
            <w:r>
              <w:t xml:space="preserve">Przygotowanie projektu zarządzenia o skierowaniu sprawy na rozprawę główną lub posiedzenie, obejmującego </w:t>
            </w:r>
            <w:r>
              <w:lastRenderedPageBreak/>
              <w:t>zawiadomienia i wezwania uczestników, jak też inne niezbędne punkty (np. karta karna, odpisy wyroków, opinie) oraz zapoznanie aplikanta z umiejętnością sporządzenia takiego zarządzenia w systemie elektronicznym sądu.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Default="00DC371B" w:rsidP="00541953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Default="00DC371B" w:rsidP="00541953">
            <w:pPr>
              <w:rPr>
                <w:sz w:val="10"/>
                <w:szCs w:val="10"/>
              </w:rPr>
            </w:pPr>
          </w:p>
        </w:tc>
      </w:tr>
      <w:tr w:rsidR="00DC371B" w:rsidTr="00DC371B">
        <w:trPr>
          <w:trHeight w:val="1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Pr="00DC371B" w:rsidRDefault="00DC371B" w:rsidP="005419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Opracowywanie projektów orzeczeń wydawanych w sprawach, o których mowa w art. 337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kpk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i art. 339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kpk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Default="00DC371B" w:rsidP="00541953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Default="00DC371B" w:rsidP="00541953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B04DBC" w:rsidTr="00CB5CD2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F91174" w:rsidP="00F91174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 w:rsidRPr="00F91174">
              <w:t>Zapoznawanie się z zasadami orzekania wyrokiem na posiedzeniu, w tym z zarządzeniami wykonawczymi w przedmiocie doręczenia orzeczeń</w:t>
            </w:r>
            <w:r w:rsidR="00DC371B" w:rsidRPr="00F91174">
              <w:t>.</w:t>
            </w:r>
          </w:p>
          <w:p w:rsidR="00F91174" w:rsidRPr="00F91174" w:rsidRDefault="00F91174" w:rsidP="00F91174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44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F91174" w:rsidRDefault="00B04DBC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Default="00F91174" w:rsidP="00F91174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Z</w:t>
            </w:r>
            <w:r w:rsidRPr="00F91174">
              <w:t>apoznawanie się z zasadami kierowania sprawy do postępowania mediacyjnego</w:t>
            </w:r>
            <w:r>
              <w:t>.</w:t>
            </w:r>
          </w:p>
          <w:p w:rsidR="00F91174" w:rsidRPr="00F91174" w:rsidRDefault="00F91174" w:rsidP="00F9117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44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F91174" w:rsidRDefault="00B04DBC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Pr="00F91174" w:rsidRDefault="00F91174" w:rsidP="00F91174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bidi="en-US"/>
              </w:rPr>
            </w:pPr>
            <w:r>
              <w:rPr>
                <w:rFonts w:ascii="Times New Roman" w:hAnsi="Times New Roman"/>
                <w:sz w:val="23"/>
                <w:szCs w:val="23"/>
                <w:lang w:bidi="en-US"/>
              </w:rPr>
              <w:t>Z</w:t>
            </w:r>
            <w:r w:rsidRPr="00F91174">
              <w:rPr>
                <w:rFonts w:ascii="Times New Roman" w:hAnsi="Times New Roman"/>
                <w:sz w:val="23"/>
                <w:szCs w:val="23"/>
                <w:lang w:bidi="en-US"/>
              </w:rPr>
              <w:t>apoznawanie się z zasadami i organizacją posiedzenia przygotowawczego, o którym mowa w art. 349 k.p.k.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F91174" w:rsidRDefault="00B04DBC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F91174" w:rsidTr="00F91174">
        <w:trPr>
          <w:trHeight w:val="1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F9117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91174">
              <w:rPr>
                <w:rFonts w:ascii="Times New Roman" w:hAnsi="Times New Roman"/>
                <w:sz w:val="23"/>
                <w:szCs w:val="23"/>
              </w:rPr>
              <w:t>do uznania patrona praktyki</w:t>
            </w:r>
          </w:p>
          <w:p w:rsidR="00F91174" w:rsidRPr="00F91174" w:rsidRDefault="00F91174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Default="00F91174" w:rsidP="00541953">
            <w:pPr>
              <w:rPr>
                <w:sz w:val="10"/>
                <w:szCs w:val="10"/>
              </w:rPr>
            </w:pPr>
          </w:p>
        </w:tc>
      </w:tr>
      <w:tr w:rsidR="00F91174" w:rsidTr="00F91174">
        <w:trPr>
          <w:trHeight w:val="1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F9117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  <w:p w:rsidR="00F91174" w:rsidRPr="00F91174" w:rsidRDefault="00F91174" w:rsidP="00F9117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 w:rsidRPr="00F91174">
              <w:tab/>
            </w:r>
          </w:p>
          <w:p w:rsidR="00F91174" w:rsidRPr="00F91174" w:rsidRDefault="00F91174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Default="00F91174" w:rsidP="00541953">
            <w:pPr>
              <w:rPr>
                <w:sz w:val="10"/>
                <w:szCs w:val="10"/>
              </w:rPr>
            </w:pPr>
          </w:p>
        </w:tc>
      </w:tr>
      <w:tr w:rsidR="00F91174" w:rsidTr="00F91174">
        <w:trPr>
          <w:trHeight w:val="1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54195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  <w:p w:rsidR="00F91174" w:rsidRPr="00F91174" w:rsidRDefault="00F91174" w:rsidP="0054195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 w:rsidRPr="00F91174">
              <w:tab/>
            </w:r>
          </w:p>
          <w:p w:rsidR="00F91174" w:rsidRPr="00F91174" w:rsidRDefault="00F91174" w:rsidP="00F91174">
            <w:pPr>
              <w:pStyle w:val="Teksttreci60"/>
              <w:tabs>
                <w:tab w:val="left" w:leader="dot" w:pos="3877"/>
              </w:tabs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5419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Default="00F91174" w:rsidP="00541953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1D143F" w:rsidRDefault="00071C44" w:rsidP="00F9117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1D143F" w:rsidRDefault="001D143F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>
        <w:rPr>
          <w:b/>
        </w:rPr>
        <w:t xml:space="preserve">Ocena przebiegu praktyki </w:t>
      </w:r>
      <w:r>
        <w:rPr>
          <w:b/>
        </w:rPr>
        <w:tab/>
      </w:r>
      <w:bookmarkEnd w:id="2"/>
    </w:p>
    <w:p w:rsidR="001D143F" w:rsidRDefault="001D143F" w:rsidP="001D143F">
      <w:pPr>
        <w:pStyle w:val="Teksttreci80"/>
        <w:shd w:val="clear" w:color="auto" w:fill="auto"/>
        <w:spacing w:before="0" w:after="403" w:line="274" w:lineRule="exact"/>
        <w:ind w:left="20" w:right="600"/>
      </w:pPr>
      <w:r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>
        <w:rPr>
          <w:b/>
          <w:sz w:val="23"/>
          <w:szCs w:val="23"/>
        </w:rPr>
        <w:t>Uzasadnienie oceny</w:t>
      </w:r>
      <w:bookmarkEnd w:id="3"/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1D143F" w:rsidRDefault="001D143F" w:rsidP="001D143F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</w:p>
    <w:p w:rsidR="00F91174" w:rsidRDefault="00F91174" w:rsidP="001D143F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F91174">
          <w:pgSz w:w="11905" w:h="16837"/>
          <w:pgMar w:top="1418" w:right="925" w:bottom="989" w:left="1338" w:header="0" w:footer="3" w:gutter="0"/>
          <w:cols w:space="708"/>
        </w:sectPr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F91174" w:rsidRDefault="00F91174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F91174" w:rsidRDefault="00F91174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F91174" w:rsidRDefault="00F91174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F91174" w:rsidRDefault="00F91174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Pr="001D143F" w:rsidRDefault="001D143F" w:rsidP="001D143F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1D143F" w:rsidRPr="001D143F" w:rsidRDefault="001D143F" w:rsidP="001D143F">
      <w:pPr>
        <w:ind w:left="5664"/>
        <w:rPr>
          <w:i/>
          <w:color w:val="auto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1D143F" w:rsidRDefault="001D143F" w:rsidP="001D143F">
      <w:pPr>
        <w:pStyle w:val="Teksttreci80"/>
        <w:shd w:val="clear" w:color="auto" w:fill="auto"/>
        <w:spacing w:before="0" w:after="0" w:line="230" w:lineRule="exact"/>
        <w:ind w:left="6760"/>
        <w:jc w:val="left"/>
      </w:pPr>
    </w:p>
    <w:p w:rsidR="0034222A" w:rsidRDefault="0034222A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sectPr w:rsidR="0034222A" w:rsidSect="001D143F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F52"/>
    <w:multiLevelType w:val="hybridMultilevel"/>
    <w:tmpl w:val="54A6E184"/>
    <w:lvl w:ilvl="0" w:tplc="1D26A286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B5D87"/>
    <w:multiLevelType w:val="hybridMultilevel"/>
    <w:tmpl w:val="FCF046AA"/>
    <w:lvl w:ilvl="0" w:tplc="6896AD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B38AA"/>
    <w:multiLevelType w:val="hybridMultilevel"/>
    <w:tmpl w:val="0C8A7F6A"/>
    <w:lvl w:ilvl="0" w:tplc="AA7CF010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44"/>
    <w:rsid w:val="00021356"/>
    <w:rsid w:val="00071C44"/>
    <w:rsid w:val="0007460B"/>
    <w:rsid w:val="00096331"/>
    <w:rsid w:val="000B2A81"/>
    <w:rsid w:val="000F1027"/>
    <w:rsid w:val="00154F28"/>
    <w:rsid w:val="001C651D"/>
    <w:rsid w:val="001D143F"/>
    <w:rsid w:val="002103AB"/>
    <w:rsid w:val="00240A34"/>
    <w:rsid w:val="0027747E"/>
    <w:rsid w:val="002E2C66"/>
    <w:rsid w:val="002F7EAB"/>
    <w:rsid w:val="0034222A"/>
    <w:rsid w:val="003B7674"/>
    <w:rsid w:val="00404F05"/>
    <w:rsid w:val="004163B8"/>
    <w:rsid w:val="004224B1"/>
    <w:rsid w:val="00480247"/>
    <w:rsid w:val="005037E9"/>
    <w:rsid w:val="00567312"/>
    <w:rsid w:val="0063692A"/>
    <w:rsid w:val="006968EB"/>
    <w:rsid w:val="007B320B"/>
    <w:rsid w:val="007B6F51"/>
    <w:rsid w:val="00887D60"/>
    <w:rsid w:val="009C20E9"/>
    <w:rsid w:val="00A106DB"/>
    <w:rsid w:val="00A11322"/>
    <w:rsid w:val="00A151CA"/>
    <w:rsid w:val="00A600B9"/>
    <w:rsid w:val="00AB2D37"/>
    <w:rsid w:val="00B04DBC"/>
    <w:rsid w:val="00B5385F"/>
    <w:rsid w:val="00B7591C"/>
    <w:rsid w:val="00BD2028"/>
    <w:rsid w:val="00C2548D"/>
    <w:rsid w:val="00C46546"/>
    <w:rsid w:val="00C52A81"/>
    <w:rsid w:val="00CB5CD2"/>
    <w:rsid w:val="00D30692"/>
    <w:rsid w:val="00D56D0B"/>
    <w:rsid w:val="00D84214"/>
    <w:rsid w:val="00D9313D"/>
    <w:rsid w:val="00DC371B"/>
    <w:rsid w:val="00DC4657"/>
    <w:rsid w:val="00E41BDF"/>
    <w:rsid w:val="00E510FE"/>
    <w:rsid w:val="00E64B91"/>
    <w:rsid w:val="00E8142A"/>
    <w:rsid w:val="00E91263"/>
    <w:rsid w:val="00F4241A"/>
    <w:rsid w:val="00F61127"/>
    <w:rsid w:val="00F91174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B49FA-564A-4E50-AEBF-01B08CAE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2018-08-28T07:11:00Z</cp:lastPrinted>
  <dcterms:created xsi:type="dcterms:W3CDTF">2021-08-26T06:24:00Z</dcterms:created>
  <dcterms:modified xsi:type="dcterms:W3CDTF">2021-08-26T06:24:00Z</dcterms:modified>
</cp:coreProperties>
</file>