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DF" w:rsidRPr="008E4458" w:rsidRDefault="002E03DF" w:rsidP="002E03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8E4458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APELACJA WROCŁAWSKA 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 xml:space="preserve">NKCK 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–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 xml:space="preserve"> Nadz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ó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r nad komornikami i czynno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ś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ciami komornik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ó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w oraz kontroli</w:t>
      </w: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finansowej kancelarii komorniczych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Data szkolenia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 powtarzalne terminy w okresie grudzie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ń́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2017 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grudzie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ń́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2018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</w:p>
    <w:p w:rsidR="009712FC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Miejsce szkolenia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</w:t>
      </w:r>
      <w:r w:rsidR="001504B5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="000A358E">
        <w:rPr>
          <w:rFonts w:ascii="TimesNewRomanPSMT" w:eastAsia="TimesNewRomanPSMT" w:hAnsi="Calibri-Bold" w:cs="TimesNewRomanPSMT"/>
          <w:color w:val="000000"/>
          <w:sz w:val="24"/>
          <w:szCs w:val="24"/>
        </w:rPr>
        <w:t>K</w:t>
      </w:r>
      <w:r w:rsidR="00B53C50">
        <w:rPr>
          <w:rFonts w:ascii="TimesNewRomanPSMT" w:eastAsia="TimesNewRomanPSMT" w:hAnsi="Calibri-Bold" w:cs="TimesNewRomanPSMT"/>
          <w:color w:val="000000"/>
          <w:sz w:val="24"/>
          <w:szCs w:val="24"/>
        </w:rPr>
        <w:t>rak</w:t>
      </w:r>
      <w:r w:rsidR="00B53C50">
        <w:rPr>
          <w:rFonts w:ascii="TimesNewRomanPSMT" w:eastAsia="TimesNewRomanPSMT" w:hAnsi="Calibri-Bold" w:cs="TimesNewRomanPSMT"/>
          <w:color w:val="000000"/>
          <w:sz w:val="24"/>
          <w:szCs w:val="24"/>
        </w:rPr>
        <w:t>ó</w:t>
      </w:r>
      <w:r w:rsidR="00B53C50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w </w:t>
      </w:r>
    </w:p>
    <w:p w:rsidR="002E03DF" w:rsidRDefault="001504B5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Grupa docelowa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: </w:t>
      </w:r>
      <w:r>
        <w:rPr>
          <w:rFonts w:ascii="TimesNewRomanPSMT" w:eastAsia="TimesNewRomanPSMT" w:hAnsi="Calibri-Bold" w:cs="TimesNewRomanPSMT"/>
          <w:color w:val="000000"/>
        </w:rPr>
        <w:t>prezesi i wiceprezesi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</w:t>
      </w:r>
      <w:r>
        <w:rPr>
          <w:rFonts w:ascii="TimesNewRomanPSMT" w:eastAsia="TimesNewRomanPSMT" w:hAnsi="Calibri-Bold" w:cs="TimesNewRomanPSMT" w:hint="eastAsia"/>
          <w:color w:val="000000"/>
        </w:rPr>
        <w:t>ó</w:t>
      </w:r>
      <w:r>
        <w:rPr>
          <w:rFonts w:ascii="TimesNewRomanPSMT" w:eastAsia="TimesNewRomanPSMT" w:hAnsi="Calibri-Bold" w:cs="TimesNewRomanPSMT"/>
          <w:color w:val="000000"/>
        </w:rPr>
        <w:t>w rejonowych oraz s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dziowie wizytatorzy zatrudnieni</w:t>
      </w:r>
      <w:r w:rsidR="009712FC">
        <w:rPr>
          <w:rFonts w:ascii="TimesNewRomanPSMT" w:eastAsia="TimesNewRomanPSMT" w:hAnsi="Calibri-Bold" w:cs="TimesNewRomanPSMT"/>
          <w:color w:val="000000"/>
        </w:rPr>
        <w:t xml:space="preserve"> </w:t>
      </w:r>
      <w:r>
        <w:rPr>
          <w:rFonts w:ascii="TimesNewRomanPSMT" w:eastAsia="TimesNewRomanPSMT" w:hAnsi="Calibri-Bold" w:cs="TimesNewRomanPSMT"/>
          <w:color w:val="000000"/>
        </w:rPr>
        <w:t>w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dach okr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gowych, s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dziowie wydzia</w:t>
      </w:r>
      <w:r>
        <w:rPr>
          <w:rFonts w:ascii="TimesNewRomanPSMT" w:eastAsia="TimesNewRomanPSMT" w:hAnsi="Calibri-Bold" w:cs="TimesNewRomanPSMT" w:hint="eastAsia"/>
          <w:color w:val="000000"/>
        </w:rPr>
        <w:t>łó</w:t>
      </w:r>
      <w:r>
        <w:rPr>
          <w:rFonts w:ascii="TimesNewRomanPSMT" w:eastAsia="TimesNewRomanPSMT" w:hAnsi="Calibri-Bold" w:cs="TimesNewRomanPSMT"/>
          <w:color w:val="000000"/>
        </w:rPr>
        <w:t>w cywilnych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</w:t>
      </w:r>
      <w:r>
        <w:rPr>
          <w:rFonts w:ascii="TimesNewRomanPSMT" w:eastAsia="TimesNewRomanPSMT" w:hAnsi="Calibri-Bold" w:cs="TimesNewRomanPSMT" w:hint="eastAsia"/>
          <w:color w:val="000000"/>
        </w:rPr>
        <w:t>ó</w:t>
      </w:r>
      <w:r>
        <w:rPr>
          <w:rFonts w:ascii="TimesNewRomanPSMT" w:eastAsia="TimesNewRomanPSMT" w:hAnsi="Calibri-Bold" w:cs="TimesNewRomanPSMT"/>
          <w:color w:val="000000"/>
        </w:rPr>
        <w:t>w rejonowych i referendarze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dowi</w:t>
      </w:r>
      <w:r w:rsidR="009712FC">
        <w:rPr>
          <w:rFonts w:ascii="TimesNewRomanPSMT" w:eastAsia="TimesNewRomanPSMT" w:hAnsi="Calibri-Bold" w:cs="TimesNewRomanPSMT"/>
          <w:color w:val="000000"/>
        </w:rPr>
        <w:t xml:space="preserve"> </w:t>
      </w:r>
      <w:r>
        <w:rPr>
          <w:rFonts w:ascii="TimesNewRomanPSMT" w:eastAsia="TimesNewRomanPSMT" w:hAnsi="Calibri-Bold" w:cs="TimesNewRomanPSMT"/>
          <w:color w:val="000000"/>
        </w:rPr>
        <w:t>zatrudnieni w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dach rejonowych, urz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dnicy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dowi zatrudnieni w saldach rejonowych</w:t>
      </w:r>
    </w:p>
    <w:p w:rsidR="009712FC" w:rsidRDefault="009712FC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</w:rPr>
      </w:pP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Forma zaj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ęć́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 seminarium, dyskusja, zaj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 praktyczne ze specjalistami</w:t>
      </w:r>
      <w:r w:rsidR="00FD0B23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praktykami</w:t>
      </w:r>
    </w:p>
    <w:p w:rsidR="009712FC" w:rsidRDefault="009712FC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Default="002E03DF" w:rsidP="009712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4A5479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dotycz</w:t>
      </w:r>
      <w:r w:rsidRPr="004A5479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ą̨</w:t>
      </w:r>
      <w:r w:rsidR="004A5479">
        <w:rPr>
          <w:rFonts w:ascii="TimesNewRomanPSMT" w:eastAsia="TimesNewRomanPSMT" w:hAnsi="Calibri-Bold" w:cs="TimesNewRomanPSMT"/>
          <w:color w:val="000000"/>
          <w:sz w:val="24"/>
          <w:szCs w:val="24"/>
        </w:rPr>
        <w:t>: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nadzoru nad czynno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ś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ciami komornik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i nad komornikami (nadz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r</w:t>
      </w:r>
      <w:r w:rsidR="009712FC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judykacyjny, nadz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r administracyjny) i kontroli finansowej nad</w:t>
      </w:r>
      <w:r w:rsidR="009712FC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kancelariami komorniczymi.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4A5479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4A5479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Wymiar 16 godz. lekcyjnych (dwa dni szkoleniowe).</w:t>
      </w:r>
    </w:p>
    <w:p w:rsidR="00C87ACA" w:rsidRDefault="00C87AC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C87ACA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ą̨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prowadzone w odr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bnych grupach dla: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1) prezes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i wiceprezes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w </w:t>
      </w:r>
      <w:proofErr w:type="spellStart"/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</w:t>
      </w:r>
      <w:proofErr w:type="spellEnd"/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rejonowych i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dzi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wizytator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zatrudnionych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okr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gowych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2)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dzi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wydzia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cywilnych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rejonowych i referendarzy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dowych zatrudnionych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rejonowych;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3) urz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dnik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dowych zatrudnionych 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rejonowych.</w:t>
      </w:r>
    </w:p>
    <w:p w:rsidR="00816406" w:rsidRDefault="00816406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</w:p>
    <w:p w:rsidR="002E03DF" w:rsidRDefault="002E03DF" w:rsidP="008164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bezp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ł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atne. Liczba miejsc jest ograniczona.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Organizator zapewnia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wy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ywienie w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trakcie szkolenia. Osoby mieszkaj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ce w odleg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ś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 pow. 50 km od miejsca szkolenia maj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bezp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atny nocleg i dodatkowe wy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ywienie.</w:t>
      </w:r>
    </w:p>
    <w:p w:rsidR="002E03DF" w:rsidRPr="00C87ACA" w:rsidRDefault="002E03DF" w:rsidP="008164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prowadzone przez praktyk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w, specjalist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 z zakresu post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powania</w:t>
      </w:r>
    </w:p>
    <w:p w:rsidR="002E03DF" w:rsidRDefault="002E03DF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lastRenderedPageBreak/>
        <w:t>egzekucyjnego i przepis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 dotycz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cych wykonywania zawodu komornika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Pr="00FD0B23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</w:t>
      </w:r>
      <w:r w:rsidRPr="00FD0B23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FD0B23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dowego.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Zaj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odbywaj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si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w 10-osobowych grupach, co umo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liwia dyskusj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i rozwiazywanie</w:t>
      </w:r>
      <w:r w:rsidR="00CE5FC6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praktycznych problem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w, z jakimi spotykaj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si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uczestnicy w praktyce zawodowej.</w:t>
      </w:r>
    </w:p>
    <w:p w:rsidR="00FD0B23" w:rsidRDefault="00FD0B23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CE5FC6" w:rsidRDefault="002E03DF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Rekrutacja, programy szkoleniowe oraz numery telefonu do kontaktu dost</w:t>
      </w:r>
      <w:r w:rsidRPr="00CE5FC6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pne s</w:t>
      </w:r>
      <w:r w:rsidRPr="00CE5FC6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na </w:t>
      </w:r>
      <w:r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stronie</w:t>
      </w:r>
      <w:r w:rsidR="00CE5FC6"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 xml:space="preserve"> i</w:t>
      </w:r>
      <w:r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nternetowe</w:t>
      </w:r>
      <w:r w:rsidR="00812009"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j</w:t>
      </w:r>
      <w:r w:rsidR="00812009" w:rsidRPr="006D0C32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:</w:t>
      </w:r>
      <w:r w:rsidR="00812009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="00812009" w:rsidRPr="00812009">
        <w:rPr>
          <w:rFonts w:ascii="TimesNewRomanPSMT" w:eastAsia="TimesNewRomanPSMT" w:hAnsi="Calibri-Bold" w:cs="TimesNewRomanPSMT"/>
          <w:color w:val="000000"/>
          <w:sz w:val="24"/>
          <w:szCs w:val="24"/>
        </w:rPr>
        <w:t>http://nkck.prawo.uni.wroc.pl/</w:t>
      </w:r>
    </w:p>
    <w:p w:rsidR="00623C7A" w:rsidRDefault="00623C7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C96160" w:rsidRDefault="002E03DF" w:rsidP="00E702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TERMINY: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</w:t>
      </w:r>
    </w:p>
    <w:p w:rsidR="002E03DF" w:rsidRPr="00C96160" w:rsidRDefault="00E702CB" w:rsidP="00E702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- 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prosz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zwraca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ć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uwag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, 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ż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e r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óż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ne grupy dotycz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ą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odr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bnych kategorii os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 (dane w nawiasach przy poszczeg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lnych terminach)</w:t>
      </w:r>
    </w:p>
    <w:p w:rsidR="002E03DF" w:rsidRDefault="002E03DF" w:rsidP="002E03DF">
      <w:pPr>
        <w:rPr>
          <w:rFonts w:eastAsia="Calibri"/>
          <w:lang w:eastAsia="hi-IN" w:bidi="hi-IN"/>
        </w:rPr>
      </w:pP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- 10/11 maj 2018 r. </w:t>
      </w:r>
      <w:r w:rsidRPr="00BA7BAC">
        <w:rPr>
          <w:rFonts w:eastAsia="Calibri"/>
          <w:b/>
          <w:lang w:eastAsia="hi-IN" w:bidi="hi-IN"/>
        </w:rPr>
        <w:t>(1 grupa sędziów wydziałów cywilnych SR i 1 grupa urzędników SR);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- 17/18 maj 2018 r. </w:t>
      </w:r>
      <w:r w:rsidRPr="00BA7BAC">
        <w:rPr>
          <w:rFonts w:eastAsia="Calibri"/>
          <w:b/>
          <w:lang w:eastAsia="hi-IN" w:bidi="hi-IN"/>
        </w:rPr>
        <w:t>(1 grupa prezesów i wiceprezesów wydziałów cywilnych);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- 24/25 maj 2018 r. </w:t>
      </w:r>
      <w:r w:rsidRPr="00BA7BAC">
        <w:rPr>
          <w:rFonts w:eastAsia="Calibri"/>
          <w:b/>
          <w:lang w:eastAsia="hi-IN" w:bidi="hi-IN"/>
        </w:rPr>
        <w:t>(2 grupy urzędników SR);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- 5/6 czerwca 2018 r. </w:t>
      </w:r>
      <w:r w:rsidRPr="00BA7BAC">
        <w:rPr>
          <w:rFonts w:eastAsia="Calibri"/>
          <w:b/>
          <w:lang w:eastAsia="hi-IN" w:bidi="hi-IN"/>
        </w:rPr>
        <w:t>(1 grupa sędziów wydziałów cywilnych SR + 1 grupa urzędników SR);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>- 7/8 czerwiec 2018 r</w:t>
      </w:r>
      <w:r w:rsidRPr="00BA7BAC">
        <w:rPr>
          <w:rFonts w:eastAsia="Calibri"/>
          <w:b/>
          <w:lang w:eastAsia="hi-IN" w:bidi="hi-IN"/>
        </w:rPr>
        <w:t>. (2 grupy urzędników SR);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- 6/7 września 2018 r. </w:t>
      </w:r>
      <w:r w:rsidRPr="00BA7BAC">
        <w:rPr>
          <w:rFonts w:eastAsia="Calibri"/>
          <w:b/>
          <w:lang w:eastAsia="hi-IN" w:bidi="hi-IN"/>
        </w:rPr>
        <w:t>(2 grupy urzędników SR);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- 13/14 września 2018 r. </w:t>
      </w:r>
      <w:r w:rsidRPr="00BA7BAC">
        <w:rPr>
          <w:rFonts w:eastAsia="Calibri"/>
          <w:b/>
          <w:lang w:eastAsia="hi-IN" w:bidi="hi-IN"/>
        </w:rPr>
        <w:t>(1 grupa sędziów wydziałów cywilnych SR i 1 grupa urzędników SR);</w:t>
      </w:r>
    </w:p>
    <w:p w:rsidR="00BA7BAC" w:rsidRPr="00BA7BAC" w:rsidRDefault="00BA7BAC" w:rsidP="00BA7BAC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>- 20/21 września 2018 r</w:t>
      </w:r>
      <w:r w:rsidRPr="00BA7BAC">
        <w:rPr>
          <w:rFonts w:eastAsia="Calibri"/>
          <w:b/>
          <w:lang w:eastAsia="hi-IN" w:bidi="hi-IN"/>
        </w:rPr>
        <w:t>. (1 grupa sędziów wydziałów cywilnych SR i 1 grupa urzędników SR);</w:t>
      </w:r>
    </w:p>
    <w:p w:rsidR="00BA7BAC" w:rsidRDefault="00BA7BAC" w:rsidP="002E03DF">
      <w:bookmarkStart w:id="0" w:name="_GoBack"/>
      <w:bookmarkEnd w:id="0"/>
    </w:p>
    <w:sectPr w:rsidR="00BA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DF"/>
    <w:rsid w:val="000A358E"/>
    <w:rsid w:val="001409AD"/>
    <w:rsid w:val="001504B5"/>
    <w:rsid w:val="002E03DF"/>
    <w:rsid w:val="003B67D3"/>
    <w:rsid w:val="003F0BC5"/>
    <w:rsid w:val="004A5479"/>
    <w:rsid w:val="00623C7A"/>
    <w:rsid w:val="006D0C32"/>
    <w:rsid w:val="0078095F"/>
    <w:rsid w:val="00812009"/>
    <w:rsid w:val="00816406"/>
    <w:rsid w:val="008E4458"/>
    <w:rsid w:val="009712FC"/>
    <w:rsid w:val="00996DB5"/>
    <w:rsid w:val="00A57ED3"/>
    <w:rsid w:val="00AA4AAE"/>
    <w:rsid w:val="00B23493"/>
    <w:rsid w:val="00B53C50"/>
    <w:rsid w:val="00BA7BAC"/>
    <w:rsid w:val="00C77C38"/>
    <w:rsid w:val="00C87ACA"/>
    <w:rsid w:val="00C96160"/>
    <w:rsid w:val="00CE5FC6"/>
    <w:rsid w:val="00E702CB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E8C"/>
  <w15:chartTrackingRefBased/>
  <w15:docId w15:val="{502A6032-5D21-439D-AA73-E702504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4</cp:revision>
  <dcterms:created xsi:type="dcterms:W3CDTF">2018-04-06T09:57:00Z</dcterms:created>
  <dcterms:modified xsi:type="dcterms:W3CDTF">2018-04-06T09:58:00Z</dcterms:modified>
</cp:coreProperties>
</file>