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58" w:rsidRPr="00CE7151" w:rsidRDefault="005034EB" w:rsidP="00D93E1A">
      <w:pPr>
        <w:autoSpaceDE w:val="0"/>
        <w:autoSpaceDN w:val="0"/>
        <w:adjustRightInd w:val="0"/>
        <w:spacing w:after="0" w:line="240" w:lineRule="auto"/>
        <w:jc w:val="center"/>
        <w:rPr>
          <w:rFonts w:ascii="Corbel" w:hAnsi="Corbel" w:cs="Calibri"/>
          <w:b/>
          <w:bCs/>
          <w:color w:val="1498BF"/>
          <w:sz w:val="32"/>
          <w:szCs w:val="32"/>
        </w:rPr>
      </w:pPr>
      <w:r w:rsidRPr="00CE7151">
        <w:rPr>
          <w:rFonts w:ascii="Corbel" w:hAnsi="Corbel" w:cs="Calibri"/>
          <w:b/>
          <w:bCs/>
          <w:color w:val="1498BF"/>
          <w:sz w:val="32"/>
          <w:szCs w:val="32"/>
        </w:rPr>
        <w:t xml:space="preserve">HELP </w:t>
      </w:r>
      <w:r w:rsidR="00F25101">
        <w:rPr>
          <w:rFonts w:ascii="Corbel" w:hAnsi="Corbel" w:cs="Calibri"/>
          <w:b/>
          <w:bCs/>
          <w:color w:val="1498BF"/>
          <w:sz w:val="32"/>
          <w:szCs w:val="32"/>
        </w:rPr>
        <w:t xml:space="preserve">in the EU </w:t>
      </w:r>
      <w:r w:rsidR="00B97D79" w:rsidRPr="00CE7151">
        <w:rPr>
          <w:rFonts w:ascii="Corbel" w:hAnsi="Corbel" w:cs="Calibri"/>
          <w:b/>
          <w:bCs/>
          <w:color w:val="1498BF"/>
          <w:sz w:val="32"/>
          <w:szCs w:val="32"/>
        </w:rPr>
        <w:t>Cross-border launch</w:t>
      </w:r>
      <w:r w:rsidR="00130458" w:rsidRPr="00CE7151">
        <w:rPr>
          <w:rFonts w:ascii="Corbel" w:hAnsi="Corbel" w:cs="Calibri"/>
          <w:b/>
          <w:bCs/>
          <w:color w:val="1498BF"/>
          <w:sz w:val="32"/>
          <w:szCs w:val="32"/>
        </w:rPr>
        <w:t xml:space="preserve"> of the course on</w:t>
      </w:r>
    </w:p>
    <w:p w:rsidR="005034EB" w:rsidRPr="008D5867" w:rsidRDefault="00C358BD" w:rsidP="005034EB">
      <w:pPr>
        <w:autoSpaceDE w:val="0"/>
        <w:autoSpaceDN w:val="0"/>
        <w:adjustRightInd w:val="0"/>
        <w:spacing w:after="0" w:line="240" w:lineRule="auto"/>
        <w:jc w:val="center"/>
        <w:rPr>
          <w:rFonts w:ascii="Corbel" w:hAnsi="Corbel" w:cs="Calibri"/>
          <w:b/>
          <w:bCs/>
          <w:color w:val="1498BF"/>
          <w:sz w:val="32"/>
          <w:szCs w:val="32"/>
        </w:rPr>
      </w:pPr>
      <w:r>
        <w:rPr>
          <w:rFonts w:ascii="Corbel" w:hAnsi="Corbel" w:cs="Calibri"/>
          <w:b/>
          <w:bCs/>
          <w:color w:val="1498BF"/>
          <w:sz w:val="32"/>
          <w:szCs w:val="32"/>
        </w:rPr>
        <w:t>Data Protection and Privacy Rights</w:t>
      </w:r>
    </w:p>
    <w:p w:rsidR="00130458" w:rsidRPr="00CE7151" w:rsidRDefault="00130458" w:rsidP="005034EB">
      <w:pPr>
        <w:autoSpaceDE w:val="0"/>
        <w:autoSpaceDN w:val="0"/>
        <w:adjustRightInd w:val="0"/>
        <w:spacing w:after="0" w:line="240" w:lineRule="auto"/>
        <w:jc w:val="center"/>
        <w:rPr>
          <w:rFonts w:ascii="Corbel" w:hAnsi="Corbel" w:cs="Calibri"/>
          <w:b/>
          <w:bCs/>
          <w:color w:val="1498BF"/>
          <w:sz w:val="32"/>
          <w:szCs w:val="32"/>
        </w:rPr>
      </w:pPr>
    </w:p>
    <w:p w:rsidR="005034EB" w:rsidRPr="008D5867" w:rsidRDefault="00C358BD" w:rsidP="009E1DEB">
      <w:pPr>
        <w:autoSpaceDE w:val="0"/>
        <w:autoSpaceDN w:val="0"/>
        <w:adjustRightInd w:val="0"/>
        <w:spacing w:after="0" w:line="240" w:lineRule="auto"/>
        <w:jc w:val="right"/>
        <w:rPr>
          <w:rFonts w:ascii="Corbel" w:hAnsi="Corbel" w:cs="Calibri"/>
          <w:i/>
          <w:color w:val="1498BF"/>
          <w:sz w:val="24"/>
          <w:szCs w:val="24"/>
        </w:rPr>
      </w:pPr>
      <w:r>
        <w:rPr>
          <w:rFonts w:ascii="Corbel" w:hAnsi="Corbel" w:cs="Calibri"/>
          <w:bCs/>
          <w:i/>
          <w:color w:val="1498BF"/>
          <w:sz w:val="24"/>
          <w:szCs w:val="24"/>
        </w:rPr>
        <w:t>Bucharest</w:t>
      </w:r>
      <w:r w:rsidR="005034EB" w:rsidRPr="008D5867">
        <w:rPr>
          <w:rFonts w:ascii="Corbel" w:hAnsi="Corbel" w:cs="Calibri"/>
          <w:bCs/>
          <w:i/>
          <w:color w:val="1498BF"/>
          <w:sz w:val="24"/>
          <w:szCs w:val="24"/>
        </w:rPr>
        <w:t xml:space="preserve">, </w:t>
      </w:r>
      <w:r w:rsidR="005A5FD8">
        <w:rPr>
          <w:rFonts w:ascii="Corbel" w:hAnsi="Corbel" w:cs="Calibri"/>
          <w:bCs/>
          <w:i/>
          <w:color w:val="1498BF"/>
          <w:sz w:val="24"/>
          <w:szCs w:val="24"/>
        </w:rPr>
        <w:t>1</w:t>
      </w:r>
      <w:r w:rsidR="00883869">
        <w:rPr>
          <w:rFonts w:ascii="Corbel" w:hAnsi="Corbel" w:cs="Calibri"/>
          <w:bCs/>
          <w:i/>
          <w:color w:val="1498BF"/>
          <w:sz w:val="24"/>
          <w:szCs w:val="24"/>
        </w:rPr>
        <w:t>8-19</w:t>
      </w:r>
      <w:r w:rsidR="005A5FD8">
        <w:rPr>
          <w:rFonts w:ascii="Corbel" w:hAnsi="Corbel" w:cs="Calibri"/>
          <w:bCs/>
          <w:i/>
          <w:color w:val="1498BF"/>
          <w:sz w:val="24"/>
          <w:szCs w:val="24"/>
        </w:rPr>
        <w:t xml:space="preserve"> June </w:t>
      </w:r>
      <w:r w:rsidR="003649A1">
        <w:rPr>
          <w:rFonts w:ascii="Corbel" w:hAnsi="Corbel" w:cs="Calibri"/>
          <w:bCs/>
          <w:i/>
          <w:color w:val="1498BF"/>
          <w:sz w:val="24"/>
          <w:szCs w:val="24"/>
        </w:rPr>
        <w:t>2019</w:t>
      </w:r>
    </w:p>
    <w:p w:rsidR="00B055B2" w:rsidRDefault="00B055B2" w:rsidP="005034EB">
      <w:pPr>
        <w:autoSpaceDE w:val="0"/>
        <w:autoSpaceDN w:val="0"/>
        <w:adjustRightInd w:val="0"/>
        <w:spacing w:after="0" w:line="240" w:lineRule="auto"/>
        <w:jc w:val="center"/>
        <w:rPr>
          <w:rFonts w:ascii="Corbel" w:hAnsi="Corbel" w:cs="Calibri"/>
          <w:b/>
          <w:bCs/>
          <w:i/>
          <w:color w:val="1498BF"/>
          <w:sz w:val="32"/>
          <w:szCs w:val="32"/>
        </w:rPr>
      </w:pPr>
    </w:p>
    <w:p w:rsidR="005034EB" w:rsidRPr="008D5867" w:rsidRDefault="005034EB" w:rsidP="005034EB">
      <w:pPr>
        <w:autoSpaceDE w:val="0"/>
        <w:autoSpaceDN w:val="0"/>
        <w:adjustRightInd w:val="0"/>
        <w:spacing w:after="0" w:line="240" w:lineRule="auto"/>
        <w:jc w:val="center"/>
        <w:rPr>
          <w:rFonts w:ascii="Corbel" w:hAnsi="Corbel" w:cs="Calibri"/>
          <w:i/>
          <w:color w:val="1498BF"/>
          <w:sz w:val="28"/>
          <w:szCs w:val="28"/>
        </w:rPr>
      </w:pPr>
      <w:r w:rsidRPr="008D5867">
        <w:rPr>
          <w:rFonts w:ascii="Corbel" w:hAnsi="Corbel" w:cs="Calibri"/>
          <w:b/>
          <w:bCs/>
          <w:i/>
          <w:color w:val="1498BF"/>
          <w:sz w:val="28"/>
          <w:szCs w:val="28"/>
        </w:rPr>
        <w:t>Concept paper</w:t>
      </w:r>
      <w:r w:rsidR="00B055B2" w:rsidRPr="008D5867">
        <w:rPr>
          <w:rFonts w:ascii="Corbel" w:hAnsi="Corbel" w:cs="Calibri"/>
          <w:b/>
          <w:bCs/>
          <w:i/>
          <w:color w:val="1498BF"/>
          <w:sz w:val="28"/>
          <w:szCs w:val="28"/>
        </w:rPr>
        <w:t xml:space="preserve"> and agenda</w:t>
      </w:r>
    </w:p>
    <w:p w:rsidR="005034EB" w:rsidRPr="00CE7151" w:rsidRDefault="005034EB" w:rsidP="005034EB">
      <w:pPr>
        <w:autoSpaceDE w:val="0"/>
        <w:autoSpaceDN w:val="0"/>
        <w:adjustRightInd w:val="0"/>
        <w:spacing w:after="0" w:line="240" w:lineRule="auto"/>
        <w:jc w:val="both"/>
        <w:rPr>
          <w:rFonts w:ascii="Corbel" w:hAnsi="Corbel" w:cs="Calibri"/>
          <w:b/>
          <w:bCs/>
        </w:rPr>
      </w:pPr>
    </w:p>
    <w:p w:rsidR="0061095F" w:rsidRDefault="0061095F" w:rsidP="00A94B42">
      <w:pPr>
        <w:autoSpaceDE w:val="0"/>
        <w:autoSpaceDN w:val="0"/>
        <w:adjustRightInd w:val="0"/>
        <w:spacing w:after="120" w:line="240" w:lineRule="auto"/>
        <w:jc w:val="both"/>
        <w:rPr>
          <w:rFonts w:ascii="Corbel" w:hAnsi="Corbel" w:cs="Calibri"/>
          <w:b/>
          <w:bCs/>
          <w:color w:val="1498BF"/>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51"/>
        <w:gridCol w:w="8188"/>
      </w:tblGrid>
      <w:tr w:rsidR="0061095F" w:rsidRPr="00361083" w:rsidTr="008C1014">
        <w:tc>
          <w:tcPr>
            <w:tcW w:w="1951" w:type="dxa"/>
            <w:shd w:val="clear" w:color="auto" w:fill="F2F2F2" w:themeFill="background1" w:themeFillShade="F2"/>
          </w:tcPr>
          <w:p w:rsidR="0061095F" w:rsidRPr="00361083" w:rsidRDefault="0061095F" w:rsidP="008C1014">
            <w:pPr>
              <w:autoSpaceDE w:val="0"/>
              <w:autoSpaceDN w:val="0"/>
              <w:adjustRightInd w:val="0"/>
              <w:jc w:val="both"/>
              <w:rPr>
                <w:rFonts w:ascii="Corbel" w:hAnsi="Corbel" w:cs="Calibri"/>
                <w:b/>
                <w:bCs/>
              </w:rPr>
            </w:pPr>
            <w:r w:rsidRPr="00361083">
              <w:rPr>
                <w:rFonts w:ascii="Corbel" w:hAnsi="Corbel" w:cs="Calibri"/>
                <w:b/>
                <w:bCs/>
              </w:rPr>
              <w:t>Date</w:t>
            </w:r>
          </w:p>
        </w:tc>
        <w:tc>
          <w:tcPr>
            <w:tcW w:w="8188" w:type="dxa"/>
            <w:shd w:val="clear" w:color="auto" w:fill="F2F2F2" w:themeFill="background1" w:themeFillShade="F2"/>
          </w:tcPr>
          <w:p w:rsidR="0061095F" w:rsidRPr="00361083" w:rsidRDefault="00883869" w:rsidP="00262124">
            <w:pPr>
              <w:autoSpaceDE w:val="0"/>
              <w:autoSpaceDN w:val="0"/>
              <w:adjustRightInd w:val="0"/>
              <w:jc w:val="both"/>
              <w:rPr>
                <w:rFonts w:ascii="Corbel" w:hAnsi="Corbel" w:cs="Calibri"/>
                <w:bCs/>
              </w:rPr>
            </w:pPr>
            <w:r>
              <w:rPr>
                <w:rFonts w:ascii="Corbel" w:hAnsi="Corbel" w:cs="Calibri"/>
                <w:bCs/>
              </w:rPr>
              <w:t>18-19</w:t>
            </w:r>
            <w:r w:rsidR="005A5FD8">
              <w:rPr>
                <w:rFonts w:ascii="Corbel" w:hAnsi="Corbel" w:cs="Calibri"/>
                <w:bCs/>
              </w:rPr>
              <w:t xml:space="preserve"> June</w:t>
            </w:r>
            <w:r w:rsidR="0061095F" w:rsidRPr="00361083">
              <w:rPr>
                <w:rFonts w:ascii="Corbel" w:hAnsi="Corbel" w:cs="Calibri"/>
                <w:bCs/>
              </w:rPr>
              <w:t xml:space="preserve"> 2019</w:t>
            </w:r>
          </w:p>
        </w:tc>
      </w:tr>
      <w:tr w:rsidR="0061095F" w:rsidRPr="00361083" w:rsidTr="008C1014">
        <w:tc>
          <w:tcPr>
            <w:tcW w:w="1951" w:type="dxa"/>
            <w:shd w:val="clear" w:color="auto" w:fill="F2F2F2" w:themeFill="background1" w:themeFillShade="F2"/>
          </w:tcPr>
          <w:p w:rsidR="0061095F" w:rsidRPr="00361083" w:rsidRDefault="0061095F" w:rsidP="008C1014">
            <w:pPr>
              <w:autoSpaceDE w:val="0"/>
              <w:autoSpaceDN w:val="0"/>
              <w:adjustRightInd w:val="0"/>
              <w:jc w:val="both"/>
              <w:rPr>
                <w:rFonts w:ascii="Corbel" w:hAnsi="Corbel" w:cs="Calibri"/>
                <w:b/>
                <w:bCs/>
              </w:rPr>
            </w:pPr>
            <w:r w:rsidRPr="00361083">
              <w:rPr>
                <w:rFonts w:ascii="Corbel" w:hAnsi="Corbel" w:cs="Calibri"/>
                <w:b/>
                <w:bCs/>
              </w:rPr>
              <w:t>Location</w:t>
            </w:r>
          </w:p>
        </w:tc>
        <w:tc>
          <w:tcPr>
            <w:tcW w:w="8188" w:type="dxa"/>
            <w:shd w:val="clear" w:color="auto" w:fill="F2F2F2" w:themeFill="background1" w:themeFillShade="F2"/>
          </w:tcPr>
          <w:p w:rsidR="0061095F" w:rsidRPr="00361083" w:rsidRDefault="00E56D44" w:rsidP="00A60EFD">
            <w:pPr>
              <w:autoSpaceDE w:val="0"/>
              <w:autoSpaceDN w:val="0"/>
              <w:adjustRightInd w:val="0"/>
              <w:jc w:val="both"/>
              <w:rPr>
                <w:rFonts w:ascii="Corbel" w:hAnsi="Corbel" w:cs="Calibri"/>
                <w:bCs/>
              </w:rPr>
            </w:pPr>
            <w:r>
              <w:rPr>
                <w:rFonts w:ascii="Corbel" w:hAnsi="Corbel" w:cs="Calibri"/>
                <w:bCs/>
              </w:rPr>
              <w:t xml:space="preserve">Bucharest, National Institute of </w:t>
            </w:r>
            <w:proofErr w:type="spellStart"/>
            <w:r>
              <w:rPr>
                <w:rFonts w:ascii="Corbel" w:hAnsi="Corbel" w:cs="Calibri"/>
                <w:bCs/>
              </w:rPr>
              <w:t>Magistrature</w:t>
            </w:r>
            <w:proofErr w:type="spellEnd"/>
          </w:p>
        </w:tc>
      </w:tr>
      <w:tr w:rsidR="0061095F" w:rsidRPr="00361083" w:rsidTr="008C1014">
        <w:tc>
          <w:tcPr>
            <w:tcW w:w="1951" w:type="dxa"/>
            <w:shd w:val="clear" w:color="auto" w:fill="F2F2F2" w:themeFill="background1" w:themeFillShade="F2"/>
          </w:tcPr>
          <w:p w:rsidR="0061095F" w:rsidRPr="00361083" w:rsidRDefault="0061095F" w:rsidP="008C1014">
            <w:pPr>
              <w:autoSpaceDE w:val="0"/>
              <w:autoSpaceDN w:val="0"/>
              <w:adjustRightInd w:val="0"/>
              <w:jc w:val="both"/>
              <w:rPr>
                <w:rFonts w:ascii="Corbel" w:hAnsi="Corbel" w:cs="Calibri"/>
                <w:b/>
                <w:bCs/>
              </w:rPr>
            </w:pPr>
            <w:r w:rsidRPr="00361083">
              <w:rPr>
                <w:rFonts w:ascii="Corbel" w:hAnsi="Corbel" w:cs="Calibri"/>
                <w:b/>
                <w:bCs/>
              </w:rPr>
              <w:t>Language</w:t>
            </w:r>
          </w:p>
        </w:tc>
        <w:tc>
          <w:tcPr>
            <w:tcW w:w="8188" w:type="dxa"/>
            <w:shd w:val="clear" w:color="auto" w:fill="F2F2F2" w:themeFill="background1" w:themeFillShade="F2"/>
          </w:tcPr>
          <w:p w:rsidR="0061095F" w:rsidRPr="00361083" w:rsidRDefault="0061095F" w:rsidP="00E56D44">
            <w:pPr>
              <w:autoSpaceDE w:val="0"/>
              <w:autoSpaceDN w:val="0"/>
              <w:adjustRightInd w:val="0"/>
              <w:jc w:val="both"/>
              <w:rPr>
                <w:rFonts w:ascii="Corbel" w:hAnsi="Corbel" w:cs="Calibri"/>
                <w:bCs/>
              </w:rPr>
            </w:pPr>
            <w:r w:rsidRPr="00361083">
              <w:rPr>
                <w:rFonts w:ascii="Corbel" w:hAnsi="Corbel" w:cs="Calibri"/>
                <w:bCs/>
              </w:rPr>
              <w:t>English</w:t>
            </w:r>
            <w:r w:rsidR="00E56D44">
              <w:rPr>
                <w:rFonts w:ascii="Corbel" w:hAnsi="Corbel" w:cs="Calibri"/>
                <w:bCs/>
              </w:rPr>
              <w:t xml:space="preserve"> (</w:t>
            </w:r>
            <w:r w:rsidR="0008393C">
              <w:rPr>
                <w:rFonts w:ascii="Corbel" w:hAnsi="Corbel" w:cs="Calibri"/>
                <w:bCs/>
              </w:rPr>
              <w:t>with Romanian interpretation</w:t>
            </w:r>
            <w:r w:rsidR="00E56D44">
              <w:rPr>
                <w:rFonts w:ascii="Corbel" w:hAnsi="Corbel" w:cs="Calibri"/>
                <w:bCs/>
              </w:rPr>
              <w:t>)</w:t>
            </w:r>
          </w:p>
        </w:tc>
      </w:tr>
      <w:tr w:rsidR="0061095F" w:rsidRPr="00361083" w:rsidTr="008C1014">
        <w:tc>
          <w:tcPr>
            <w:tcW w:w="1951" w:type="dxa"/>
            <w:shd w:val="clear" w:color="auto" w:fill="F2F2F2" w:themeFill="background1" w:themeFillShade="F2"/>
          </w:tcPr>
          <w:p w:rsidR="0061095F" w:rsidRPr="00361083" w:rsidRDefault="0061095F" w:rsidP="008C1014">
            <w:pPr>
              <w:autoSpaceDE w:val="0"/>
              <w:autoSpaceDN w:val="0"/>
              <w:adjustRightInd w:val="0"/>
              <w:jc w:val="both"/>
              <w:rPr>
                <w:rFonts w:ascii="Corbel" w:hAnsi="Corbel" w:cs="Calibri"/>
                <w:b/>
                <w:bCs/>
              </w:rPr>
            </w:pPr>
            <w:r w:rsidRPr="00361083">
              <w:rPr>
                <w:rFonts w:ascii="Corbel" w:hAnsi="Corbel" w:cs="Calibri"/>
                <w:b/>
                <w:bCs/>
              </w:rPr>
              <w:t>Participation</w:t>
            </w:r>
          </w:p>
        </w:tc>
        <w:tc>
          <w:tcPr>
            <w:tcW w:w="8188" w:type="dxa"/>
            <w:shd w:val="clear" w:color="auto" w:fill="F2F2F2" w:themeFill="background1" w:themeFillShade="F2"/>
          </w:tcPr>
          <w:p w:rsidR="0061095F" w:rsidRPr="00361083" w:rsidRDefault="0061095F" w:rsidP="00D8582A">
            <w:pPr>
              <w:autoSpaceDE w:val="0"/>
              <w:autoSpaceDN w:val="0"/>
              <w:adjustRightInd w:val="0"/>
              <w:jc w:val="both"/>
              <w:rPr>
                <w:rFonts w:ascii="Corbel" w:hAnsi="Corbel" w:cs="Calibri"/>
                <w:bCs/>
              </w:rPr>
            </w:pPr>
            <w:r>
              <w:rPr>
                <w:rFonts w:ascii="Corbel" w:hAnsi="Corbel" w:cs="Calibri"/>
                <w:bCs/>
              </w:rPr>
              <w:t xml:space="preserve">Judges </w:t>
            </w:r>
            <w:r w:rsidR="00FE6F95">
              <w:rPr>
                <w:rFonts w:ascii="Corbel" w:hAnsi="Corbel" w:cs="Calibri"/>
                <w:bCs/>
              </w:rPr>
              <w:t xml:space="preserve">and prosecutors </w:t>
            </w:r>
            <w:r>
              <w:rPr>
                <w:rFonts w:ascii="Corbel" w:hAnsi="Corbel" w:cs="Calibri"/>
                <w:bCs/>
              </w:rPr>
              <w:t xml:space="preserve">from </w:t>
            </w:r>
            <w:r w:rsidR="00E56D44">
              <w:rPr>
                <w:rFonts w:ascii="Corbel" w:hAnsi="Corbel" w:cs="Calibri"/>
                <w:bCs/>
              </w:rPr>
              <w:t>Romania, Lithuania and Poland</w:t>
            </w:r>
            <w:r w:rsidR="00727264">
              <w:rPr>
                <w:rFonts w:ascii="Corbel" w:hAnsi="Corbel" w:cs="Calibri"/>
                <w:bCs/>
              </w:rPr>
              <w:t xml:space="preserve"> (participation is taken in charge by the project)</w:t>
            </w:r>
          </w:p>
        </w:tc>
      </w:tr>
      <w:tr w:rsidR="0061095F" w:rsidRPr="00361083" w:rsidTr="008C1014">
        <w:tc>
          <w:tcPr>
            <w:tcW w:w="1951" w:type="dxa"/>
            <w:shd w:val="clear" w:color="auto" w:fill="F2F2F2" w:themeFill="background1" w:themeFillShade="F2"/>
          </w:tcPr>
          <w:p w:rsidR="0061095F" w:rsidRPr="00361083" w:rsidRDefault="0061095F" w:rsidP="008C1014">
            <w:pPr>
              <w:autoSpaceDE w:val="0"/>
              <w:autoSpaceDN w:val="0"/>
              <w:adjustRightInd w:val="0"/>
              <w:jc w:val="both"/>
              <w:rPr>
                <w:rFonts w:ascii="Corbel" w:hAnsi="Corbel" w:cs="Calibri"/>
                <w:b/>
                <w:bCs/>
              </w:rPr>
            </w:pPr>
            <w:r w:rsidRPr="00361083">
              <w:rPr>
                <w:rFonts w:ascii="Corbel" w:hAnsi="Corbel" w:cs="Calibri"/>
                <w:b/>
                <w:bCs/>
              </w:rPr>
              <w:t>Registration</w:t>
            </w:r>
          </w:p>
        </w:tc>
        <w:tc>
          <w:tcPr>
            <w:tcW w:w="8188" w:type="dxa"/>
            <w:shd w:val="clear" w:color="auto" w:fill="F2F2F2" w:themeFill="background1" w:themeFillShade="F2"/>
          </w:tcPr>
          <w:p w:rsidR="0061095F" w:rsidRPr="00361083" w:rsidRDefault="0008393C">
            <w:pPr>
              <w:autoSpaceDE w:val="0"/>
              <w:autoSpaceDN w:val="0"/>
              <w:adjustRightInd w:val="0"/>
              <w:jc w:val="both"/>
              <w:rPr>
                <w:rFonts w:ascii="Corbel" w:hAnsi="Corbel" w:cs="Calibri"/>
                <w:b/>
                <w:bCs/>
              </w:rPr>
            </w:pPr>
            <w:r>
              <w:rPr>
                <w:rFonts w:ascii="Corbel" w:hAnsi="Corbel" w:cs="Calibri"/>
                <w:b/>
                <w:bCs/>
              </w:rPr>
              <w:t>Via your training institution</w:t>
            </w:r>
            <w:r w:rsidR="009951BB">
              <w:rPr>
                <w:rFonts w:ascii="Corbel" w:hAnsi="Corbel" w:cs="Calibri"/>
                <w:b/>
                <w:bCs/>
              </w:rPr>
              <w:t>;</w:t>
            </w:r>
            <w:r w:rsidR="00E56D44">
              <w:rPr>
                <w:rFonts w:ascii="Corbel" w:hAnsi="Corbel" w:cs="Calibri"/>
                <w:b/>
                <w:bCs/>
              </w:rPr>
              <w:t xml:space="preserve"> </w:t>
            </w:r>
            <w:r w:rsidR="009951BB">
              <w:rPr>
                <w:rFonts w:ascii="Corbel" w:hAnsi="Corbel" w:cs="Calibri"/>
                <w:b/>
                <w:bCs/>
              </w:rPr>
              <w:t>d</w:t>
            </w:r>
            <w:r w:rsidR="0061095F">
              <w:rPr>
                <w:rFonts w:ascii="Corbel" w:hAnsi="Corbel" w:cs="Calibri"/>
                <w:b/>
                <w:bCs/>
              </w:rPr>
              <w:t xml:space="preserve">eadline: </w:t>
            </w:r>
            <w:r w:rsidR="005A5FD8">
              <w:rPr>
                <w:rFonts w:ascii="Corbel" w:hAnsi="Corbel" w:cs="Calibri"/>
                <w:b/>
                <w:bCs/>
              </w:rPr>
              <w:t>3 May</w:t>
            </w:r>
            <w:r w:rsidR="00267080">
              <w:rPr>
                <w:rFonts w:ascii="Corbel" w:hAnsi="Corbel" w:cs="Calibri"/>
                <w:b/>
                <w:bCs/>
              </w:rPr>
              <w:t xml:space="preserve"> 2019</w:t>
            </w:r>
          </w:p>
        </w:tc>
      </w:tr>
    </w:tbl>
    <w:p w:rsidR="0061095F" w:rsidRDefault="0061095F" w:rsidP="00A94B42">
      <w:pPr>
        <w:autoSpaceDE w:val="0"/>
        <w:autoSpaceDN w:val="0"/>
        <w:adjustRightInd w:val="0"/>
        <w:spacing w:after="120" w:line="240" w:lineRule="auto"/>
        <w:jc w:val="both"/>
        <w:rPr>
          <w:rFonts w:ascii="Corbel" w:hAnsi="Corbel" w:cs="Calibri"/>
          <w:b/>
          <w:bCs/>
          <w:color w:val="1498BF"/>
        </w:rPr>
      </w:pPr>
    </w:p>
    <w:p w:rsidR="005034EB" w:rsidRPr="00CE7151" w:rsidRDefault="005034EB" w:rsidP="00A94B42">
      <w:pPr>
        <w:autoSpaceDE w:val="0"/>
        <w:autoSpaceDN w:val="0"/>
        <w:adjustRightInd w:val="0"/>
        <w:spacing w:after="120" w:line="240" w:lineRule="auto"/>
        <w:jc w:val="both"/>
        <w:rPr>
          <w:rFonts w:ascii="Corbel" w:hAnsi="Corbel" w:cs="Calibri"/>
        </w:rPr>
      </w:pPr>
      <w:r w:rsidRPr="00CE7151">
        <w:rPr>
          <w:rFonts w:ascii="Corbel" w:hAnsi="Corbel" w:cs="Calibri"/>
          <w:b/>
          <w:bCs/>
          <w:color w:val="1498BF"/>
        </w:rPr>
        <w:t>Background</w:t>
      </w:r>
      <w:r w:rsidRPr="00CE7151">
        <w:rPr>
          <w:rFonts w:ascii="Corbel" w:hAnsi="Corbel" w:cs="Calibri"/>
          <w:b/>
          <w:bCs/>
        </w:rPr>
        <w:t xml:space="preserve"> </w:t>
      </w:r>
    </w:p>
    <w:p w:rsidR="005034EB" w:rsidRPr="00CE7151" w:rsidRDefault="005034EB" w:rsidP="00A94B42">
      <w:pPr>
        <w:autoSpaceDE w:val="0"/>
        <w:autoSpaceDN w:val="0"/>
        <w:adjustRightInd w:val="0"/>
        <w:spacing w:after="120" w:line="240" w:lineRule="auto"/>
        <w:jc w:val="both"/>
        <w:rPr>
          <w:rFonts w:ascii="Corbel" w:hAnsi="Corbel" w:cs="Calibri"/>
        </w:rPr>
      </w:pPr>
      <w:r w:rsidRPr="00CE7151">
        <w:rPr>
          <w:rFonts w:ascii="Corbel" w:hAnsi="Corbel" w:cs="Calibri"/>
        </w:rPr>
        <w:t xml:space="preserve">The </w:t>
      </w:r>
      <w:r w:rsidRPr="00CE7151">
        <w:rPr>
          <w:rFonts w:ascii="Corbel" w:hAnsi="Corbel" w:cs="Calibri"/>
          <w:b/>
          <w:bCs/>
        </w:rPr>
        <w:t>Council of Europe (CoE) Programme for Human Rights Education for Legal Professionals (</w:t>
      </w:r>
      <w:hyperlink r:id="rId9" w:history="1">
        <w:r w:rsidRPr="00A94B42">
          <w:rPr>
            <w:rStyle w:val="Hyperlink"/>
            <w:rFonts w:ascii="Corbel" w:hAnsi="Corbel" w:cs="Calibri"/>
            <w:b/>
            <w:bCs/>
          </w:rPr>
          <w:t>HELP</w:t>
        </w:r>
      </w:hyperlink>
      <w:r w:rsidRPr="00CE7151">
        <w:rPr>
          <w:rFonts w:ascii="Corbel" w:hAnsi="Corbel" w:cs="Calibri"/>
          <w:b/>
          <w:bCs/>
        </w:rPr>
        <w:t xml:space="preserve">) </w:t>
      </w:r>
      <w:r w:rsidRPr="00CE7151">
        <w:rPr>
          <w:rFonts w:ascii="Corbel" w:hAnsi="Corbel" w:cs="Calibri"/>
        </w:rPr>
        <w:t>is aimed at supporting the CoE member States in implementing the European human rights standards at the national level, focusing on the European Convention on Human Rights (ECHR)</w:t>
      </w:r>
      <w:r w:rsidR="00DB04EA" w:rsidRPr="00CE7151">
        <w:rPr>
          <w:rFonts w:ascii="Corbel" w:hAnsi="Corbel" w:cs="Calibri"/>
        </w:rPr>
        <w:t xml:space="preserve">, other key CoE instruments, and since 2015, </w:t>
      </w:r>
      <w:r w:rsidRPr="00CE7151">
        <w:rPr>
          <w:rFonts w:ascii="Corbel" w:hAnsi="Corbel" w:cs="Calibri"/>
        </w:rPr>
        <w:t>EU law. This is done by raising the capacities of legal professionals to apply those instruments in their daily work.</w:t>
      </w:r>
      <w:r w:rsidR="00543B10" w:rsidRPr="00CE7151">
        <w:rPr>
          <w:rFonts w:ascii="Corbel" w:hAnsi="Corbel" w:cs="Calibri"/>
        </w:rPr>
        <w:tab/>
      </w:r>
    </w:p>
    <w:p w:rsidR="00C60366" w:rsidRPr="00CE7151" w:rsidRDefault="00C60366" w:rsidP="00A94B42">
      <w:pPr>
        <w:autoSpaceDE w:val="0"/>
        <w:autoSpaceDN w:val="0"/>
        <w:adjustRightInd w:val="0"/>
        <w:spacing w:after="120" w:line="240" w:lineRule="auto"/>
        <w:jc w:val="both"/>
        <w:rPr>
          <w:rFonts w:ascii="Corbel" w:hAnsi="Corbel" w:cs="Calibri"/>
        </w:rPr>
      </w:pPr>
      <w:r w:rsidRPr="00CE7151">
        <w:rPr>
          <w:rFonts w:ascii="Corbel" w:hAnsi="Corbel" w:cs="Calibri"/>
        </w:rPr>
        <w:t xml:space="preserve">The objective of HELP is to provide high quality education on human rights to judges, lawyers and prosecutors throughout Europe. Law enforcement authorities such as police and prison staff are also targeted by HELP. Thanks to HELP courses, legal professionals can better protect human rights on a national level and keep up to date with the ever-evolving standards and case law of the European Court of Human Rights (ECtHR). HELP courses specifically designed for EU countries increasingly incorporate relevant EU laws. </w:t>
      </w:r>
    </w:p>
    <w:p w:rsidR="00C60366" w:rsidRPr="00CE7151" w:rsidRDefault="00C60366" w:rsidP="00A94B42">
      <w:pPr>
        <w:autoSpaceDE w:val="0"/>
        <w:autoSpaceDN w:val="0"/>
        <w:adjustRightInd w:val="0"/>
        <w:spacing w:after="0" w:line="240" w:lineRule="auto"/>
        <w:jc w:val="both"/>
        <w:rPr>
          <w:rFonts w:ascii="Corbel" w:hAnsi="Corbel" w:cs="Calibri"/>
        </w:rPr>
      </w:pPr>
      <w:r w:rsidRPr="00CE7151">
        <w:rPr>
          <w:rFonts w:ascii="Corbel" w:hAnsi="Corbel" w:cs="Calibri"/>
        </w:rPr>
        <w:t xml:space="preserve">HELP is: </w:t>
      </w:r>
    </w:p>
    <w:p w:rsidR="00C60366" w:rsidRPr="00CE7151" w:rsidRDefault="00C60366" w:rsidP="00DE7B5D">
      <w:pPr>
        <w:autoSpaceDE w:val="0"/>
        <w:autoSpaceDN w:val="0"/>
        <w:adjustRightInd w:val="0"/>
        <w:spacing w:after="0" w:line="240" w:lineRule="auto"/>
        <w:jc w:val="both"/>
        <w:rPr>
          <w:rFonts w:ascii="Corbel" w:hAnsi="Corbel" w:cs="Calibri"/>
        </w:rPr>
      </w:pPr>
      <w:r w:rsidRPr="00CE7151">
        <w:rPr>
          <w:rFonts w:ascii="Corbel" w:hAnsi="Corbel" w:cs="Calibri"/>
        </w:rPr>
        <w:t xml:space="preserve">1. </w:t>
      </w:r>
      <w:proofErr w:type="gramStart"/>
      <w:r w:rsidRPr="00CE7151">
        <w:rPr>
          <w:rFonts w:ascii="Corbel" w:hAnsi="Corbel" w:cs="Calibri"/>
        </w:rPr>
        <w:t>the</w:t>
      </w:r>
      <w:proofErr w:type="gramEnd"/>
      <w:r w:rsidRPr="00CE7151">
        <w:rPr>
          <w:rFonts w:ascii="Corbel" w:hAnsi="Corbel" w:cs="Calibri"/>
        </w:rPr>
        <w:t xml:space="preserve"> only pan-European Network of national training institutions for judges, prosecutors and lawyers in the 47 CoE Member States</w:t>
      </w:r>
      <w:r w:rsidR="00DB04EA" w:rsidRPr="00CE7151">
        <w:rPr>
          <w:rFonts w:ascii="Corbel" w:hAnsi="Corbel" w:cs="Calibri"/>
        </w:rPr>
        <w:t>.</w:t>
      </w:r>
      <w:r w:rsidRPr="00CE7151">
        <w:rPr>
          <w:rFonts w:ascii="Corbel" w:hAnsi="Corbel" w:cs="Calibri"/>
        </w:rPr>
        <w:t xml:space="preserve"> </w:t>
      </w:r>
    </w:p>
    <w:p w:rsidR="00C60366" w:rsidRPr="00CE7151" w:rsidRDefault="00C60366" w:rsidP="00DE7B5D">
      <w:pPr>
        <w:autoSpaceDE w:val="0"/>
        <w:autoSpaceDN w:val="0"/>
        <w:adjustRightInd w:val="0"/>
        <w:spacing w:after="0" w:line="240" w:lineRule="auto"/>
        <w:jc w:val="both"/>
        <w:rPr>
          <w:rFonts w:ascii="Corbel" w:hAnsi="Corbel" w:cs="Calibri"/>
        </w:rPr>
      </w:pPr>
      <w:r w:rsidRPr="00CE7151">
        <w:rPr>
          <w:rFonts w:ascii="Corbel" w:hAnsi="Corbel" w:cs="Calibri"/>
        </w:rPr>
        <w:t xml:space="preserve">2. </w:t>
      </w:r>
      <w:proofErr w:type="gramStart"/>
      <w:r w:rsidRPr="00CE7151">
        <w:rPr>
          <w:rFonts w:ascii="Corbel" w:hAnsi="Corbel" w:cs="Calibri"/>
        </w:rPr>
        <w:t>an</w:t>
      </w:r>
      <w:proofErr w:type="gramEnd"/>
      <w:r w:rsidRPr="00CE7151">
        <w:rPr>
          <w:rFonts w:ascii="Corbel" w:hAnsi="Corbel" w:cs="Calibri"/>
        </w:rPr>
        <w:t xml:space="preserve"> e-learning platform with free </w:t>
      </w:r>
      <w:r w:rsidR="00DB04EA" w:rsidRPr="00CE7151">
        <w:rPr>
          <w:rFonts w:ascii="Corbel" w:hAnsi="Corbel" w:cs="Calibri"/>
        </w:rPr>
        <w:t>on-line courses on human rights.</w:t>
      </w:r>
      <w:r w:rsidRPr="00CE7151">
        <w:rPr>
          <w:rFonts w:ascii="Corbel" w:hAnsi="Corbel" w:cs="Calibri"/>
        </w:rPr>
        <w:t xml:space="preserve"> </w:t>
      </w:r>
    </w:p>
    <w:p w:rsidR="005034EB" w:rsidRPr="00CE7151" w:rsidRDefault="00C60366" w:rsidP="00DE7B5D">
      <w:pPr>
        <w:autoSpaceDE w:val="0"/>
        <w:autoSpaceDN w:val="0"/>
        <w:adjustRightInd w:val="0"/>
        <w:spacing w:after="0" w:line="240" w:lineRule="auto"/>
        <w:jc w:val="both"/>
        <w:rPr>
          <w:rFonts w:ascii="Corbel" w:hAnsi="Corbel" w:cs="Calibri"/>
        </w:rPr>
      </w:pPr>
      <w:r w:rsidRPr="00CE7151">
        <w:rPr>
          <w:rFonts w:ascii="Corbel" w:hAnsi="Corbel" w:cs="Calibri"/>
        </w:rPr>
        <w:t xml:space="preserve">3. </w:t>
      </w:r>
      <w:proofErr w:type="gramStart"/>
      <w:r w:rsidRPr="00CE7151">
        <w:rPr>
          <w:rFonts w:ascii="Corbel" w:hAnsi="Corbel" w:cs="Calibri"/>
        </w:rPr>
        <w:t>a</w:t>
      </w:r>
      <w:proofErr w:type="gramEnd"/>
      <w:r w:rsidRPr="00CE7151">
        <w:rPr>
          <w:rFonts w:ascii="Corbel" w:hAnsi="Corbel" w:cs="Calibri"/>
        </w:rPr>
        <w:t xml:space="preserve"> human rights training methodology for legal professionals.</w:t>
      </w:r>
    </w:p>
    <w:p w:rsidR="00C60366" w:rsidRPr="00CE7151" w:rsidRDefault="00C60366" w:rsidP="00C60366">
      <w:pPr>
        <w:autoSpaceDE w:val="0"/>
        <w:autoSpaceDN w:val="0"/>
        <w:adjustRightInd w:val="0"/>
        <w:spacing w:after="0" w:line="240" w:lineRule="auto"/>
        <w:jc w:val="both"/>
        <w:rPr>
          <w:rFonts w:ascii="Corbel" w:hAnsi="Corbel" w:cs="Calibri"/>
          <w:b/>
          <w:bCs/>
        </w:rPr>
      </w:pPr>
    </w:p>
    <w:p w:rsidR="00C60366" w:rsidRPr="00CE7151" w:rsidRDefault="00C60366" w:rsidP="00A94B42">
      <w:pPr>
        <w:autoSpaceDE w:val="0"/>
        <w:autoSpaceDN w:val="0"/>
        <w:adjustRightInd w:val="0"/>
        <w:spacing w:after="120" w:line="240" w:lineRule="auto"/>
        <w:jc w:val="both"/>
        <w:rPr>
          <w:rFonts w:ascii="Corbel" w:hAnsi="Corbel" w:cs="Calibri"/>
          <w:b/>
          <w:color w:val="1498BF"/>
        </w:rPr>
      </w:pPr>
      <w:r w:rsidRPr="00CE7151">
        <w:rPr>
          <w:rFonts w:ascii="Corbel" w:hAnsi="Corbel" w:cs="Calibri"/>
          <w:b/>
          <w:color w:val="1498BF"/>
        </w:rPr>
        <w:t>The HELP in the EU Project</w:t>
      </w:r>
    </w:p>
    <w:p w:rsidR="00262124" w:rsidRDefault="00C60366" w:rsidP="00C50495">
      <w:pPr>
        <w:spacing w:line="240" w:lineRule="auto"/>
        <w:jc w:val="both"/>
        <w:rPr>
          <w:rFonts w:ascii="Corbel" w:hAnsi="Corbel" w:cs="Calibri"/>
          <w:b/>
          <w:color w:val="1498BF"/>
        </w:rPr>
      </w:pPr>
      <w:r w:rsidRPr="00CE7151">
        <w:rPr>
          <w:rFonts w:ascii="Corbel" w:eastAsia="Calibri" w:hAnsi="Corbel" w:cs="Times New Roman"/>
          <w:lang w:val="en-GB"/>
        </w:rPr>
        <w:t xml:space="preserve">The </w:t>
      </w:r>
      <w:r w:rsidR="00D21A54" w:rsidRPr="00CE7151">
        <w:rPr>
          <w:rFonts w:ascii="Corbel" w:eastAsia="Calibri" w:hAnsi="Corbel" w:cs="Times New Roman"/>
          <w:lang w:val="en-GB"/>
        </w:rPr>
        <w:t>joint EU-CoE project ‘</w:t>
      </w:r>
      <w:r w:rsidRPr="00CE7151">
        <w:rPr>
          <w:rFonts w:ascii="Corbel" w:eastAsia="Calibri" w:hAnsi="Corbel" w:cs="Times New Roman"/>
          <w:lang w:val="en-GB"/>
        </w:rPr>
        <w:t xml:space="preserve">European Programme for </w:t>
      </w:r>
      <w:r w:rsidRPr="00CE7151">
        <w:rPr>
          <w:rFonts w:ascii="Corbel" w:eastAsia="Calibri" w:hAnsi="Corbel" w:cs="Times New Roman"/>
          <w:b/>
          <w:bCs/>
          <w:lang w:val="en-GB"/>
        </w:rPr>
        <w:t>H</w:t>
      </w:r>
      <w:r w:rsidRPr="00CE7151">
        <w:rPr>
          <w:rFonts w:ascii="Corbel" w:eastAsia="Calibri" w:hAnsi="Corbel" w:cs="Times New Roman"/>
          <w:lang w:val="en-GB"/>
        </w:rPr>
        <w:t xml:space="preserve">uman Rights </w:t>
      </w:r>
      <w:r w:rsidRPr="00CE7151">
        <w:rPr>
          <w:rFonts w:ascii="Corbel" w:eastAsia="Calibri" w:hAnsi="Corbel" w:cs="Times New Roman"/>
          <w:b/>
          <w:bCs/>
          <w:lang w:val="en-GB"/>
        </w:rPr>
        <w:t>E</w:t>
      </w:r>
      <w:r w:rsidRPr="00CE7151">
        <w:rPr>
          <w:rFonts w:ascii="Corbel" w:eastAsia="Calibri" w:hAnsi="Corbel" w:cs="Times New Roman"/>
          <w:lang w:val="en-GB"/>
        </w:rPr>
        <w:t xml:space="preserve">ducation for </w:t>
      </w:r>
      <w:r w:rsidRPr="00CE7151">
        <w:rPr>
          <w:rFonts w:ascii="Corbel" w:eastAsia="Calibri" w:hAnsi="Corbel" w:cs="Times New Roman"/>
          <w:b/>
          <w:bCs/>
          <w:lang w:val="en-GB"/>
        </w:rPr>
        <w:t>L</w:t>
      </w:r>
      <w:r w:rsidRPr="00CE7151">
        <w:rPr>
          <w:rFonts w:ascii="Corbel" w:eastAsia="Calibri" w:hAnsi="Corbel" w:cs="Times New Roman"/>
          <w:lang w:val="en-GB"/>
        </w:rPr>
        <w:t xml:space="preserve">egal </w:t>
      </w:r>
      <w:r w:rsidRPr="00CE7151">
        <w:rPr>
          <w:rFonts w:ascii="Corbel" w:eastAsia="Calibri" w:hAnsi="Corbel" w:cs="Times New Roman"/>
          <w:b/>
          <w:bCs/>
          <w:lang w:val="en-GB"/>
        </w:rPr>
        <w:t>P</w:t>
      </w:r>
      <w:r w:rsidRPr="00CE7151">
        <w:rPr>
          <w:rFonts w:ascii="Corbel" w:eastAsia="Calibri" w:hAnsi="Corbel" w:cs="Times New Roman"/>
          <w:lang w:val="en-GB"/>
        </w:rPr>
        <w:t>rofessionals in the European Union</w:t>
      </w:r>
      <w:r w:rsidR="00D21A54" w:rsidRPr="00CE7151">
        <w:rPr>
          <w:rFonts w:ascii="Corbel" w:eastAsia="Calibri" w:hAnsi="Corbel" w:cs="Times New Roman"/>
          <w:lang w:val="en-GB"/>
        </w:rPr>
        <w:t>’</w:t>
      </w:r>
      <w:r w:rsidRPr="00CE7151">
        <w:rPr>
          <w:rFonts w:ascii="Corbel" w:eastAsia="Calibri" w:hAnsi="Corbel" w:cs="Times New Roman"/>
          <w:lang w:val="en-GB"/>
        </w:rPr>
        <w:t xml:space="preserve"> (</w:t>
      </w:r>
      <w:hyperlink r:id="rId10" w:history="1">
        <w:r w:rsidRPr="00D93E1A">
          <w:rPr>
            <w:rStyle w:val="Hyperlink"/>
            <w:rFonts w:ascii="Corbel" w:eastAsia="Calibri" w:hAnsi="Corbel" w:cs="Times New Roman"/>
            <w:b/>
            <w:bCs/>
            <w:lang w:val="en-GB"/>
          </w:rPr>
          <w:t>HELP in the EU</w:t>
        </w:r>
      </w:hyperlink>
      <w:r w:rsidRPr="00CE7151">
        <w:rPr>
          <w:rFonts w:ascii="Corbel" w:eastAsia="Calibri" w:hAnsi="Corbel" w:cs="Times New Roman"/>
          <w:lang w:val="en-GB"/>
        </w:rPr>
        <w:t>) supports legal professionals from EU Member States in acquiring the knowledge and skills on how to effectively and coherently apply European fundamental rights standards at the national level, mainly referring to the EU Charter on Fundamental Rights (the Charter), the European Convention on Human Rights (ECHR), the (revised) European Social Charter (ESC) and relevant EU and Council of Europe Law. Furthermore, they will become familiar with the relevant European jurisprudence. It also reinforces the HELP Network of National Institutions (NTI’s) and Bar Associations (BA’s) in the EU; and through the use of cross-border trainings – which bring together legal professionals from a number of EU Member States - increases mutual trust and exchanges between EU practitioners.</w:t>
      </w:r>
      <w:r w:rsidR="00D21A54" w:rsidRPr="00CE7151">
        <w:rPr>
          <w:rFonts w:ascii="Corbel" w:eastAsia="Calibri" w:hAnsi="Corbel" w:cs="Times New Roman"/>
          <w:lang w:val="en-GB"/>
        </w:rPr>
        <w:t xml:space="preserve"> </w:t>
      </w:r>
    </w:p>
    <w:p w:rsidR="00CE7151" w:rsidRDefault="005034EB" w:rsidP="00A94B42">
      <w:pPr>
        <w:autoSpaceDE w:val="0"/>
        <w:autoSpaceDN w:val="0"/>
        <w:adjustRightInd w:val="0"/>
        <w:spacing w:after="120" w:line="240" w:lineRule="auto"/>
        <w:jc w:val="both"/>
        <w:rPr>
          <w:rFonts w:ascii="Corbel" w:hAnsi="Corbel" w:cs="Calibri"/>
          <w:b/>
          <w:color w:val="1498BF"/>
        </w:rPr>
      </w:pPr>
      <w:r w:rsidRPr="00CE7151">
        <w:rPr>
          <w:rFonts w:ascii="Corbel" w:hAnsi="Corbel" w:cs="Calibri"/>
          <w:b/>
          <w:color w:val="1498BF"/>
        </w:rPr>
        <w:lastRenderedPageBreak/>
        <w:t xml:space="preserve">The </w:t>
      </w:r>
      <w:r w:rsidR="00CE7151">
        <w:rPr>
          <w:rFonts w:ascii="Corbel" w:hAnsi="Corbel" w:cs="Calibri"/>
          <w:b/>
          <w:color w:val="1498BF"/>
        </w:rPr>
        <w:t xml:space="preserve">HELP course on </w:t>
      </w:r>
      <w:r w:rsidR="00E56D44">
        <w:rPr>
          <w:rFonts w:ascii="Corbel" w:hAnsi="Corbel" w:cs="Calibri"/>
          <w:b/>
          <w:color w:val="1498BF"/>
        </w:rPr>
        <w:t xml:space="preserve">Data Protection and </w:t>
      </w:r>
      <w:r w:rsidR="00C358BD">
        <w:rPr>
          <w:rFonts w:ascii="Corbel" w:hAnsi="Corbel" w:cs="Calibri"/>
          <w:b/>
          <w:color w:val="1498BF"/>
        </w:rPr>
        <w:t>Privacy</w:t>
      </w:r>
      <w:r w:rsidR="00E56D44">
        <w:rPr>
          <w:rFonts w:ascii="Corbel" w:hAnsi="Corbel" w:cs="Calibri"/>
          <w:b/>
          <w:color w:val="1498BF"/>
        </w:rPr>
        <w:t xml:space="preserve"> Rights</w:t>
      </w:r>
    </w:p>
    <w:p w:rsidR="00E56D44" w:rsidRDefault="00E56D44" w:rsidP="009951BB">
      <w:pPr>
        <w:spacing w:line="240" w:lineRule="auto"/>
        <w:jc w:val="both"/>
        <w:rPr>
          <w:rFonts w:ascii="Corbel" w:eastAsiaTheme="minorEastAsia" w:hAnsi="Corbel" w:cs="Arial"/>
          <w:color w:val="000000" w:themeColor="dark1"/>
          <w:kern w:val="24"/>
          <w:sz w:val="20"/>
          <w:szCs w:val="20"/>
        </w:rPr>
      </w:pPr>
      <w:r w:rsidRPr="00E56D44">
        <w:rPr>
          <w:rFonts w:ascii="Corbel" w:eastAsiaTheme="minorEastAsia" w:hAnsi="Corbel" w:cs="Arial"/>
          <w:color w:val="000000" w:themeColor="dark1"/>
          <w:kern w:val="24"/>
          <w:sz w:val="20"/>
          <w:szCs w:val="20"/>
        </w:rPr>
        <w:t xml:space="preserve">People can easily become victims of data protection violations brought on by the widespread use of information and communication technologies by public and private bodies. Web-based activities, direct marketing, and video surveillance account for most violations. Even when remedies exist in civil, criminal and administrative law, enforcement is not always ensured.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0"/>
        <w:gridCol w:w="4339"/>
      </w:tblGrid>
      <w:tr w:rsidR="00EA2074" w:rsidTr="00C50495">
        <w:tc>
          <w:tcPr>
            <w:tcW w:w="6204" w:type="dxa"/>
          </w:tcPr>
          <w:p w:rsidR="00EA2074" w:rsidRDefault="00EA2074" w:rsidP="00EA2074">
            <w:pPr>
              <w:jc w:val="both"/>
              <w:rPr>
                <w:rFonts w:ascii="Corbel" w:eastAsia="Times New Roman" w:hAnsi="Corbel" w:cs="Arial"/>
                <w:sz w:val="20"/>
                <w:szCs w:val="20"/>
              </w:rPr>
            </w:pPr>
            <w:r w:rsidRPr="00E56D44">
              <w:rPr>
                <w:rFonts w:ascii="Corbel" w:eastAsia="Times New Roman" w:hAnsi="Corbel" w:cs="Arial"/>
                <w:sz w:val="20"/>
                <w:szCs w:val="20"/>
              </w:rPr>
              <w:t>The right to privacy and personal data are protected both by the legal instruments developed by the Council of Europe (</w:t>
            </w:r>
            <w:proofErr w:type="spellStart"/>
            <w:r w:rsidRPr="00E56D44">
              <w:rPr>
                <w:rFonts w:ascii="Corbel" w:eastAsia="Times New Roman" w:hAnsi="Corbel" w:cs="Arial"/>
                <w:sz w:val="20"/>
                <w:szCs w:val="20"/>
              </w:rPr>
              <w:t>CoE</w:t>
            </w:r>
            <w:proofErr w:type="spellEnd"/>
            <w:r w:rsidRPr="00E56D44">
              <w:rPr>
                <w:rFonts w:ascii="Corbel" w:eastAsia="Times New Roman" w:hAnsi="Corbel" w:cs="Arial"/>
                <w:sz w:val="20"/>
                <w:szCs w:val="20"/>
              </w:rPr>
              <w:t xml:space="preserve">) and the European Union (EU). Article 8 of the European Convention of Human Rights (ECHR) guarantees the right to respect for private and family life, home and correspondence. The wording of Article 7 of the EU Charter of Fundamental Rights (EU Charter) is almost identical. In addition, the EU Charter explicitly mentions in Article 8 the right to data protection, considering it as a fundamental right in itself.  </w:t>
            </w:r>
          </w:p>
          <w:p w:rsidR="00EA2074" w:rsidRDefault="00EA2074" w:rsidP="00EA2074">
            <w:pPr>
              <w:jc w:val="both"/>
              <w:rPr>
                <w:rFonts w:ascii="Corbel" w:eastAsia="Times New Roman" w:hAnsi="Corbel" w:cs="Arial"/>
                <w:sz w:val="20"/>
                <w:szCs w:val="20"/>
              </w:rPr>
            </w:pPr>
          </w:p>
          <w:p w:rsidR="00EA2074" w:rsidRDefault="00EA2074" w:rsidP="009951BB">
            <w:pPr>
              <w:jc w:val="both"/>
              <w:rPr>
                <w:rFonts w:ascii="Corbel" w:eastAsia="Times New Roman" w:hAnsi="Corbel" w:cs="Arial"/>
                <w:sz w:val="20"/>
                <w:szCs w:val="20"/>
              </w:rPr>
            </w:pPr>
            <w:r w:rsidRPr="00E56D44">
              <w:rPr>
                <w:rFonts w:ascii="Corbel" w:eastAsia="Times New Roman" w:hAnsi="Corbel" w:cs="Arial"/>
                <w:sz w:val="20"/>
                <w:szCs w:val="20"/>
              </w:rPr>
              <w:t xml:space="preserve">The two rights –privacy and data protection- are not absolute and may be subject to limitations. Any restrictions with regard to these rights must be made in accordance with the law, pursue legitimate aim(s) and be necessary in a democratic society. </w:t>
            </w:r>
          </w:p>
          <w:p w:rsidR="00EA2074" w:rsidRPr="00C50495" w:rsidRDefault="00EA2074" w:rsidP="009951BB">
            <w:pPr>
              <w:jc w:val="both"/>
              <w:rPr>
                <w:rFonts w:ascii="Corbel" w:eastAsia="Times New Roman" w:hAnsi="Corbel" w:cs="Arial"/>
                <w:sz w:val="20"/>
                <w:szCs w:val="20"/>
              </w:rPr>
            </w:pPr>
          </w:p>
        </w:tc>
        <w:tc>
          <w:tcPr>
            <w:tcW w:w="3935" w:type="dxa"/>
          </w:tcPr>
          <w:p w:rsidR="00EA2074" w:rsidRDefault="00EA2074" w:rsidP="00C50495">
            <w:pPr>
              <w:jc w:val="right"/>
              <w:rPr>
                <w:rFonts w:ascii="Corbel" w:eastAsiaTheme="minorEastAsia" w:hAnsi="Corbel" w:cs="Arial"/>
                <w:color w:val="000000" w:themeColor="dark1"/>
                <w:kern w:val="24"/>
                <w:sz w:val="20"/>
                <w:szCs w:val="20"/>
              </w:rPr>
            </w:pPr>
            <w:r>
              <w:rPr>
                <w:rFonts w:ascii="Corbel" w:eastAsiaTheme="minorEastAsia" w:hAnsi="Corbel" w:cs="Arial"/>
                <w:noProof/>
                <w:color w:val="000000" w:themeColor="dark1"/>
                <w:kern w:val="24"/>
                <w:sz w:val="20"/>
                <w:szCs w:val="20"/>
              </w:rPr>
              <w:drawing>
                <wp:inline distT="0" distB="0" distL="0" distR="0" wp14:anchorId="10DE97B5" wp14:editId="466EBB31">
                  <wp:extent cx="2618650" cy="1962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75" cy="1965091"/>
                          </a:xfrm>
                          <a:prstGeom prst="rect">
                            <a:avLst/>
                          </a:prstGeom>
                          <a:noFill/>
                        </pic:spPr>
                      </pic:pic>
                    </a:graphicData>
                  </a:graphic>
                </wp:inline>
              </w:drawing>
            </w:r>
          </w:p>
        </w:tc>
      </w:tr>
    </w:tbl>
    <w:p w:rsidR="00E56D44" w:rsidRPr="00E56D44" w:rsidRDefault="00E56D44" w:rsidP="009951BB">
      <w:pPr>
        <w:spacing w:line="240" w:lineRule="auto"/>
        <w:jc w:val="both"/>
        <w:rPr>
          <w:rFonts w:ascii="Corbel" w:eastAsiaTheme="minorEastAsia" w:hAnsi="Corbel" w:cs="Arial"/>
          <w:color w:val="000000" w:themeColor="dark1"/>
          <w:kern w:val="24"/>
          <w:sz w:val="20"/>
          <w:szCs w:val="20"/>
        </w:rPr>
      </w:pPr>
      <w:r w:rsidRPr="00E56D44">
        <w:rPr>
          <w:rFonts w:ascii="Corbel" w:eastAsiaTheme="minorEastAsia" w:hAnsi="Corbel" w:cs="Arial"/>
          <w:color w:val="000000" w:themeColor="dark1"/>
          <w:kern w:val="24"/>
          <w:sz w:val="20"/>
          <w:szCs w:val="20"/>
        </w:rPr>
        <w:t>The</w:t>
      </w:r>
      <w:r w:rsidR="00CD3666">
        <w:rPr>
          <w:rFonts w:ascii="Corbel" w:eastAsiaTheme="minorEastAsia" w:hAnsi="Corbel" w:cs="Arial"/>
          <w:color w:val="000000" w:themeColor="dark1"/>
          <w:kern w:val="24"/>
          <w:sz w:val="20"/>
          <w:szCs w:val="20"/>
        </w:rPr>
        <w:t xml:space="preserve"> HELP </w:t>
      </w:r>
      <w:r w:rsidRPr="00E56D44">
        <w:rPr>
          <w:rFonts w:ascii="Corbel" w:eastAsiaTheme="minorEastAsia" w:hAnsi="Corbel" w:cs="Arial"/>
          <w:color w:val="000000" w:themeColor="dark1"/>
          <w:kern w:val="24"/>
          <w:sz w:val="20"/>
          <w:szCs w:val="20"/>
        </w:rPr>
        <w:t xml:space="preserve">course on Data Protection and Privacy Rights addresses this need and offers a comprehensive curriculum which covers in an interactive way the key concepts, the legal framework of the </w:t>
      </w:r>
      <w:proofErr w:type="spellStart"/>
      <w:r w:rsidRPr="00E56D44">
        <w:rPr>
          <w:rFonts w:ascii="Corbel" w:eastAsiaTheme="minorEastAsia" w:hAnsi="Corbel" w:cs="Arial"/>
          <w:color w:val="000000" w:themeColor="dark1"/>
          <w:kern w:val="24"/>
          <w:sz w:val="20"/>
          <w:szCs w:val="20"/>
        </w:rPr>
        <w:t>CoE</w:t>
      </w:r>
      <w:proofErr w:type="spellEnd"/>
      <w:r w:rsidRPr="00E56D44">
        <w:rPr>
          <w:rFonts w:ascii="Corbel" w:eastAsiaTheme="minorEastAsia" w:hAnsi="Corbel" w:cs="Arial"/>
          <w:color w:val="000000" w:themeColor="dark1"/>
          <w:kern w:val="24"/>
          <w:sz w:val="20"/>
          <w:szCs w:val="20"/>
        </w:rPr>
        <w:t xml:space="preserve"> and the EU (directly applicable at national level), the case law or the European Court of Human Rights (ECtHR) and of the Court of Justice of the European Union (CJEU) and specific areas of data protection. One of the key reference materials to develop this course has been the </w:t>
      </w:r>
      <w:r w:rsidRPr="00E56D44">
        <w:rPr>
          <w:rFonts w:ascii="Corbel" w:eastAsia="Times New Roman" w:hAnsi="Corbel" w:cs="Arial"/>
          <w:color w:val="0000FF"/>
          <w:sz w:val="20"/>
          <w:szCs w:val="20"/>
          <w:u w:val="single"/>
          <w:lang w:val="en-GB"/>
        </w:rPr>
        <w:t>Handbook on Data Protection</w:t>
      </w:r>
      <w:r w:rsidRPr="00E56D44">
        <w:rPr>
          <w:rFonts w:ascii="Corbel" w:eastAsiaTheme="minorEastAsia" w:hAnsi="Corbel" w:cs="Arial"/>
          <w:color w:val="000000" w:themeColor="dark1"/>
          <w:kern w:val="24"/>
          <w:sz w:val="20"/>
          <w:szCs w:val="20"/>
        </w:rPr>
        <w:t xml:space="preserve"> developed jointly by the EU FRA and the </w:t>
      </w:r>
      <w:proofErr w:type="spellStart"/>
      <w:r w:rsidRPr="00E56D44">
        <w:rPr>
          <w:rFonts w:ascii="Corbel" w:eastAsiaTheme="minorEastAsia" w:hAnsi="Corbel" w:cs="Arial"/>
          <w:color w:val="000000" w:themeColor="dark1"/>
          <w:kern w:val="24"/>
          <w:sz w:val="20"/>
          <w:szCs w:val="20"/>
        </w:rPr>
        <w:t>CoE</w:t>
      </w:r>
      <w:proofErr w:type="spellEnd"/>
      <w:r w:rsidRPr="00E56D44">
        <w:rPr>
          <w:rFonts w:ascii="Corbel" w:eastAsiaTheme="minorEastAsia" w:hAnsi="Corbel" w:cs="Arial"/>
          <w:color w:val="000000" w:themeColor="dark1"/>
          <w:kern w:val="24"/>
          <w:sz w:val="20"/>
          <w:szCs w:val="20"/>
        </w:rPr>
        <w:t xml:space="preserve"> together with the Registry of the ECtHR.</w:t>
      </w:r>
    </w:p>
    <w:p w:rsidR="00E56D44" w:rsidRPr="008918AB" w:rsidRDefault="009951BB" w:rsidP="008918AB">
      <w:pPr>
        <w:spacing w:line="240" w:lineRule="auto"/>
        <w:jc w:val="both"/>
        <w:rPr>
          <w:rFonts w:ascii="Corbel" w:eastAsia="Times New Roman" w:hAnsi="Corbel" w:cs="Arial"/>
          <w:sz w:val="20"/>
          <w:szCs w:val="20"/>
        </w:rPr>
      </w:pPr>
      <w:r>
        <w:rPr>
          <w:rFonts w:ascii="Corbel" w:eastAsiaTheme="minorEastAsia" w:hAnsi="Corbel" w:cs="Arial"/>
          <w:color w:val="000000" w:themeColor="dark1"/>
          <w:kern w:val="24"/>
          <w:sz w:val="20"/>
          <w:szCs w:val="20"/>
        </w:rPr>
        <w:t>Exist</w:t>
      </w:r>
      <w:r w:rsidR="00E56D44" w:rsidRPr="00E56D44">
        <w:rPr>
          <w:rFonts w:ascii="Corbel" w:eastAsiaTheme="minorEastAsia" w:hAnsi="Corbel" w:cs="Arial"/>
          <w:color w:val="000000" w:themeColor="dark1"/>
          <w:kern w:val="24"/>
          <w:sz w:val="20"/>
          <w:szCs w:val="20"/>
        </w:rPr>
        <w:t xml:space="preserve">ing case law on data protection and privacy rights covers topics such as </w:t>
      </w:r>
      <w:r w:rsidR="00E56D44" w:rsidRPr="00E56D44">
        <w:rPr>
          <w:rFonts w:ascii="Corbel" w:eastAsia="Times New Roman" w:hAnsi="Corbel" w:cs="Arial"/>
          <w:sz w:val="20"/>
          <w:szCs w:val="20"/>
          <w:lang w:val="en-GB"/>
        </w:rPr>
        <w:t xml:space="preserve">medical sector, media (traditional and </w:t>
      </w:r>
      <w:proofErr w:type="spellStart"/>
      <w:r w:rsidR="00E56D44" w:rsidRPr="00E56D44">
        <w:rPr>
          <w:rFonts w:ascii="Corbel" w:eastAsia="Times New Roman" w:hAnsi="Corbel" w:cs="Arial"/>
          <w:sz w:val="20"/>
          <w:szCs w:val="20"/>
          <w:lang w:val="en-GB"/>
        </w:rPr>
        <w:t>non traditional</w:t>
      </w:r>
      <w:proofErr w:type="spellEnd"/>
      <w:r w:rsidR="00E56D44" w:rsidRPr="00E56D44">
        <w:rPr>
          <w:rFonts w:ascii="Corbel" w:eastAsia="Times New Roman" w:hAnsi="Corbel" w:cs="Arial"/>
          <w:sz w:val="20"/>
          <w:szCs w:val="20"/>
          <w:lang w:val="en-GB"/>
        </w:rPr>
        <w:t>), development of new technologies (i.e. GPS, drones, CCTV), e-communication and marketing, and workplace surveillance</w:t>
      </w:r>
      <w:r w:rsidR="00E56D44" w:rsidRPr="00E56D44">
        <w:rPr>
          <w:rFonts w:ascii="Corbel" w:eastAsiaTheme="minorEastAsia" w:hAnsi="Corbel" w:cs="Arial"/>
          <w:color w:val="000000" w:themeColor="dark1"/>
          <w:kern w:val="24"/>
          <w:sz w:val="20"/>
          <w:szCs w:val="20"/>
        </w:rPr>
        <w:t>.</w:t>
      </w:r>
    </w:p>
    <w:p w:rsidR="00E56D44" w:rsidRPr="00E56D44" w:rsidRDefault="00E56D44" w:rsidP="00E56D44">
      <w:pPr>
        <w:spacing w:after="0" w:line="240" w:lineRule="auto"/>
        <w:jc w:val="both"/>
        <w:rPr>
          <w:rFonts w:ascii="Corbel" w:eastAsia="Times New Roman" w:hAnsi="Corbel" w:cs="Arial"/>
          <w:b/>
          <w:sz w:val="20"/>
          <w:szCs w:val="20"/>
          <w:u w:val="single"/>
          <w:lang w:eastAsia="en-GB"/>
        </w:rPr>
      </w:pPr>
      <w:r w:rsidRPr="00E56D44">
        <w:rPr>
          <w:rFonts w:ascii="Corbel" w:eastAsia="Times New Roman" w:hAnsi="Corbel" w:cs="Arial"/>
          <w:b/>
          <w:sz w:val="20"/>
          <w:szCs w:val="20"/>
          <w:u w:val="single"/>
          <w:lang w:eastAsia="en-GB"/>
        </w:rPr>
        <w:t>Learning objectives</w:t>
      </w:r>
    </w:p>
    <w:p w:rsidR="00E56D44" w:rsidRPr="00E56D44" w:rsidRDefault="00E56D44" w:rsidP="00E56D44">
      <w:p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 xml:space="preserve">By the end of this course you will be able to: </w:t>
      </w:r>
    </w:p>
    <w:p w:rsidR="00E56D44" w:rsidRPr="00E56D44" w:rsidRDefault="00E56D44" w:rsidP="00E56D44">
      <w:pPr>
        <w:numPr>
          <w:ilvl w:val="0"/>
          <w:numId w:val="6"/>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understand the scope of the right to data protection and the right to privacy (differences and similarities) as well as their restrictions</w:t>
      </w:r>
    </w:p>
    <w:p w:rsidR="00E56D44" w:rsidRPr="00E56D44" w:rsidRDefault="00E56D44" w:rsidP="00E56D44">
      <w:pPr>
        <w:numPr>
          <w:ilvl w:val="0"/>
          <w:numId w:val="6"/>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 xml:space="preserve">understand what legal instruments concerning data protection and the right to privacy are available under the </w:t>
      </w:r>
      <w:proofErr w:type="spellStart"/>
      <w:r w:rsidRPr="00E56D44">
        <w:rPr>
          <w:rFonts w:ascii="Corbel" w:eastAsia="Times New Roman" w:hAnsi="Corbel" w:cs="Arial"/>
          <w:sz w:val="20"/>
          <w:szCs w:val="20"/>
          <w:lang w:eastAsia="en-GB"/>
        </w:rPr>
        <w:t>CoE</w:t>
      </w:r>
      <w:proofErr w:type="spellEnd"/>
      <w:r w:rsidRPr="00E56D44">
        <w:rPr>
          <w:rFonts w:ascii="Corbel" w:eastAsia="Times New Roman" w:hAnsi="Corbel" w:cs="Arial"/>
          <w:sz w:val="20"/>
          <w:szCs w:val="20"/>
          <w:lang w:eastAsia="en-GB"/>
        </w:rPr>
        <w:t xml:space="preserve"> and EU legal systems </w:t>
      </w:r>
    </w:p>
    <w:p w:rsidR="00E56D44" w:rsidRPr="00E56D44" w:rsidRDefault="00E56D44" w:rsidP="00E56D44">
      <w:pPr>
        <w:numPr>
          <w:ilvl w:val="0"/>
          <w:numId w:val="6"/>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understand the role of European actors (including the ECtHR and the CJEU as well as several bodies which develop soft law)</w:t>
      </w:r>
    </w:p>
    <w:p w:rsidR="00E56D44" w:rsidRPr="00E56D44" w:rsidRDefault="00E56D44" w:rsidP="00E56D44">
      <w:pPr>
        <w:numPr>
          <w:ilvl w:val="0"/>
          <w:numId w:val="6"/>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refer to the relevant legal framework in your everyday work, as a legal professional in the EU</w:t>
      </w:r>
    </w:p>
    <w:p w:rsidR="00E56D44" w:rsidRPr="00E56D44" w:rsidRDefault="00E56D44" w:rsidP="00E56D44">
      <w:p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To achieve this goal you will have the opportunity:</w:t>
      </w:r>
    </w:p>
    <w:p w:rsidR="00E56D44" w:rsidRPr="00E56D44" w:rsidRDefault="00E56D44" w:rsidP="00E56D44">
      <w:pPr>
        <w:numPr>
          <w:ilvl w:val="0"/>
          <w:numId w:val="11"/>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to put into practice the scope of the right to data protection and the right to privacy as defined in the EU Charter, the ECHR</w:t>
      </w:r>
      <w:r w:rsidR="00CD3666">
        <w:rPr>
          <w:rFonts w:ascii="Corbel" w:eastAsia="Times New Roman" w:hAnsi="Corbel" w:cs="Arial"/>
          <w:sz w:val="20"/>
          <w:szCs w:val="20"/>
          <w:lang w:eastAsia="en-GB"/>
        </w:rPr>
        <w:t>, the EU GDPR and</w:t>
      </w:r>
      <w:r w:rsidRPr="00E56D44">
        <w:rPr>
          <w:rFonts w:ascii="Corbel" w:eastAsia="Times New Roman" w:hAnsi="Corbel" w:cs="Arial"/>
          <w:sz w:val="20"/>
          <w:szCs w:val="20"/>
          <w:lang w:eastAsia="en-GB"/>
        </w:rPr>
        <w:t xml:space="preserve"> the Council of Europe Convention 108</w:t>
      </w:r>
      <w:r w:rsidR="00CD3666">
        <w:rPr>
          <w:rFonts w:ascii="Corbel" w:eastAsia="Times New Roman" w:hAnsi="Corbel" w:cs="Arial"/>
          <w:sz w:val="20"/>
          <w:szCs w:val="20"/>
          <w:lang w:eastAsia="en-GB"/>
        </w:rPr>
        <w:t>+</w:t>
      </w:r>
    </w:p>
    <w:p w:rsidR="00E56D44" w:rsidRPr="00E56D44" w:rsidRDefault="00E56D44" w:rsidP="00E56D44">
      <w:pPr>
        <w:numPr>
          <w:ilvl w:val="0"/>
          <w:numId w:val="11"/>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 xml:space="preserve">to learn about case law of the ECtHR and the CJEU </w:t>
      </w:r>
    </w:p>
    <w:p w:rsidR="00E56D44" w:rsidRPr="00E56D44" w:rsidRDefault="00E56D44" w:rsidP="00E56D44">
      <w:pPr>
        <w:numPr>
          <w:ilvl w:val="0"/>
          <w:numId w:val="11"/>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 xml:space="preserve">to carry out exercises to identify situations of potential violations of the rights to Data Protection and Privacy and interdependencies between the </w:t>
      </w:r>
      <w:proofErr w:type="spellStart"/>
      <w:r w:rsidRPr="00E56D44">
        <w:rPr>
          <w:rFonts w:ascii="Corbel" w:eastAsia="Times New Roman" w:hAnsi="Corbel" w:cs="Arial"/>
          <w:sz w:val="20"/>
          <w:szCs w:val="20"/>
          <w:lang w:eastAsia="en-GB"/>
        </w:rPr>
        <w:t>CoE</w:t>
      </w:r>
      <w:proofErr w:type="spellEnd"/>
      <w:r w:rsidRPr="00E56D44">
        <w:rPr>
          <w:rFonts w:ascii="Corbel" w:eastAsia="Times New Roman" w:hAnsi="Corbel" w:cs="Arial"/>
          <w:sz w:val="20"/>
          <w:szCs w:val="20"/>
          <w:lang w:eastAsia="en-GB"/>
        </w:rPr>
        <w:t xml:space="preserve"> and EU systems of protection</w:t>
      </w:r>
    </w:p>
    <w:p w:rsidR="00E56D44" w:rsidRPr="00E56D44" w:rsidRDefault="00E56D44" w:rsidP="00E56D44">
      <w:p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The course is also designed:</w:t>
      </w:r>
    </w:p>
    <w:p w:rsidR="00E56D44" w:rsidRPr="00E56D44" w:rsidRDefault="00E56D44" w:rsidP="00E56D44">
      <w:pPr>
        <w:numPr>
          <w:ilvl w:val="0"/>
          <w:numId w:val="12"/>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to strengthen your individual role as legal professional in human rights protection, as European standards on data protection and privacy rights have to be primarily upheld at national level and only, if relevant, during international litigation</w:t>
      </w:r>
    </w:p>
    <w:p w:rsidR="00E56D44" w:rsidRPr="00E56D44" w:rsidRDefault="00E56D44" w:rsidP="00E56D44">
      <w:pPr>
        <w:spacing w:after="0" w:line="240" w:lineRule="auto"/>
        <w:jc w:val="both"/>
        <w:rPr>
          <w:rFonts w:ascii="Corbel" w:eastAsia="Times New Roman" w:hAnsi="Corbel" w:cs="Arial"/>
          <w:sz w:val="20"/>
          <w:szCs w:val="20"/>
          <w:lang w:eastAsia="en-GB"/>
        </w:rPr>
      </w:pPr>
    </w:p>
    <w:p w:rsidR="00E56D44" w:rsidRPr="00E56D44" w:rsidRDefault="00E56D44" w:rsidP="00E56D44">
      <w:pPr>
        <w:spacing w:after="0" w:line="240" w:lineRule="auto"/>
        <w:jc w:val="both"/>
        <w:rPr>
          <w:rFonts w:ascii="Corbel" w:eastAsia="Times New Roman" w:hAnsi="Corbel" w:cs="Arial"/>
          <w:sz w:val="20"/>
          <w:szCs w:val="20"/>
          <w:lang w:eastAsia="en-GB"/>
        </w:rPr>
      </w:pPr>
      <w:proofErr w:type="gramStart"/>
      <w:r w:rsidRPr="00E56D44">
        <w:rPr>
          <w:rFonts w:ascii="Corbel" w:eastAsia="Times New Roman" w:hAnsi="Corbel" w:cs="Arial"/>
          <w:b/>
          <w:sz w:val="20"/>
          <w:szCs w:val="20"/>
          <w:u w:val="single"/>
          <w:lang w:val="en-CA" w:eastAsia="en-GB"/>
        </w:rPr>
        <w:t>Course outline</w:t>
      </w:r>
      <w:proofErr w:type="gramEnd"/>
      <w:r w:rsidRPr="00E56D44">
        <w:rPr>
          <w:rFonts w:ascii="Corbel" w:eastAsia="Times New Roman" w:hAnsi="Corbel" w:cs="Arial"/>
          <w:sz w:val="20"/>
          <w:szCs w:val="20"/>
          <w:lang w:val="en-CA" w:eastAsia="en-GB"/>
        </w:rPr>
        <w:t xml:space="preserve"> (Ten </w:t>
      </w:r>
      <w:r w:rsidRPr="00E56D44">
        <w:rPr>
          <w:rFonts w:ascii="Corbel" w:eastAsia="Times New Roman" w:hAnsi="Corbel" w:cs="Arial"/>
          <w:sz w:val="20"/>
          <w:szCs w:val="20"/>
          <w:lang w:eastAsia="en-GB"/>
        </w:rPr>
        <w:t xml:space="preserve">modules). </w:t>
      </w:r>
    </w:p>
    <w:p w:rsidR="00E56D44" w:rsidRPr="00E56D44" w:rsidRDefault="00E56D44" w:rsidP="00C50495">
      <w:pPr>
        <w:numPr>
          <w:ilvl w:val="0"/>
          <w:numId w:val="13"/>
        </w:numPr>
        <w:spacing w:after="0" w:line="240" w:lineRule="auto"/>
        <w:ind w:left="284" w:hanging="284"/>
        <w:jc w:val="both"/>
        <w:rPr>
          <w:rFonts w:ascii="Corbel" w:eastAsia="Times New Roman" w:hAnsi="Corbel" w:cs="Arial"/>
          <w:sz w:val="20"/>
          <w:szCs w:val="20"/>
          <w:lang w:eastAsia="en-GB"/>
        </w:rPr>
      </w:pPr>
      <w:r w:rsidRPr="00E56D44">
        <w:rPr>
          <w:rFonts w:ascii="Corbel" w:eastAsia="Times New Roman" w:hAnsi="Corbel" w:cs="Arial"/>
          <w:b/>
          <w:sz w:val="20"/>
          <w:szCs w:val="20"/>
          <w:lang w:eastAsia="en-GB"/>
        </w:rPr>
        <w:t>Basic knowledge</w:t>
      </w:r>
      <w:r w:rsidRPr="00E56D44">
        <w:rPr>
          <w:rFonts w:ascii="Corbel" w:eastAsia="Times New Roman" w:hAnsi="Corbel" w:cs="Arial"/>
          <w:sz w:val="20"/>
          <w:szCs w:val="20"/>
          <w:lang w:eastAsia="en-GB"/>
        </w:rPr>
        <w:t xml:space="preserve"> about the right to privacy and data protection:</w:t>
      </w:r>
    </w:p>
    <w:p w:rsidR="00E56D44" w:rsidRPr="00E56D44" w:rsidRDefault="00E56D44" w:rsidP="00E56D44">
      <w:pPr>
        <w:numPr>
          <w:ilvl w:val="0"/>
          <w:numId w:val="7"/>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lastRenderedPageBreak/>
        <w:t>Legal framework</w:t>
      </w:r>
    </w:p>
    <w:p w:rsidR="00E56D44" w:rsidRPr="00E56D44" w:rsidRDefault="00E56D44" w:rsidP="00E56D44">
      <w:pPr>
        <w:numPr>
          <w:ilvl w:val="0"/>
          <w:numId w:val="7"/>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bCs/>
          <w:sz w:val="20"/>
          <w:szCs w:val="20"/>
          <w:lang w:eastAsia="en-GB"/>
        </w:rPr>
        <w:t>Key concepts</w:t>
      </w:r>
    </w:p>
    <w:p w:rsidR="00E56D44" w:rsidRPr="00E56D44" w:rsidRDefault="00E56D44" w:rsidP="00C50495">
      <w:pPr>
        <w:numPr>
          <w:ilvl w:val="0"/>
          <w:numId w:val="7"/>
        </w:numPr>
        <w:spacing w:after="0" w:line="240" w:lineRule="auto"/>
        <w:jc w:val="both"/>
        <w:rPr>
          <w:rFonts w:ascii="Corbel" w:eastAsia="Times New Roman" w:hAnsi="Corbel" w:cs="Arial"/>
          <w:b/>
          <w:bCs/>
          <w:sz w:val="20"/>
          <w:szCs w:val="20"/>
          <w:lang w:val="en-CA" w:eastAsia="en-GB"/>
        </w:rPr>
      </w:pPr>
      <w:r w:rsidRPr="00E56D44">
        <w:rPr>
          <w:rFonts w:ascii="Corbel" w:eastAsia="Times New Roman" w:hAnsi="Corbel" w:cs="Arial"/>
          <w:bCs/>
          <w:sz w:val="20"/>
          <w:szCs w:val="20"/>
          <w:lang w:eastAsia="en-GB"/>
        </w:rPr>
        <w:t>Key principles</w:t>
      </w:r>
    </w:p>
    <w:p w:rsidR="00E56D44" w:rsidRPr="00E56D44" w:rsidRDefault="00CD3666" w:rsidP="00C50495">
      <w:pPr>
        <w:numPr>
          <w:ilvl w:val="0"/>
          <w:numId w:val="13"/>
        </w:numPr>
        <w:spacing w:after="0" w:line="240" w:lineRule="auto"/>
        <w:ind w:left="284" w:hanging="284"/>
        <w:jc w:val="both"/>
        <w:rPr>
          <w:rFonts w:ascii="Corbel" w:eastAsia="Times New Roman" w:hAnsi="Corbel" w:cs="Arial"/>
          <w:b/>
          <w:bCs/>
          <w:sz w:val="20"/>
          <w:szCs w:val="20"/>
          <w:lang w:val="en-CA" w:eastAsia="en-GB"/>
        </w:rPr>
      </w:pPr>
      <w:r>
        <w:rPr>
          <w:rFonts w:ascii="Corbel" w:eastAsia="Times New Roman" w:hAnsi="Corbel" w:cs="Arial"/>
          <w:b/>
          <w:bCs/>
          <w:sz w:val="20"/>
          <w:szCs w:val="20"/>
          <w:lang w:val="en-CA" w:eastAsia="en-GB"/>
        </w:rPr>
        <w:t>Topical</w:t>
      </w:r>
      <w:r w:rsidR="00E56D44" w:rsidRPr="00E56D44">
        <w:rPr>
          <w:rFonts w:ascii="Corbel" w:eastAsia="Times New Roman" w:hAnsi="Corbel" w:cs="Arial"/>
          <w:b/>
          <w:bCs/>
          <w:sz w:val="20"/>
          <w:szCs w:val="20"/>
          <w:lang w:val="en-CA" w:eastAsia="en-GB"/>
        </w:rPr>
        <w:t xml:space="preserve"> Areas:</w:t>
      </w:r>
    </w:p>
    <w:p w:rsidR="00E56D44" w:rsidRPr="00E56D44" w:rsidRDefault="00CD3666" w:rsidP="00E56D44">
      <w:pPr>
        <w:numPr>
          <w:ilvl w:val="0"/>
          <w:numId w:val="7"/>
        </w:numPr>
        <w:spacing w:after="0" w:line="240" w:lineRule="auto"/>
        <w:jc w:val="both"/>
        <w:rPr>
          <w:rFonts w:ascii="Corbel" w:eastAsia="Times New Roman" w:hAnsi="Corbel" w:cs="Arial"/>
          <w:sz w:val="20"/>
          <w:szCs w:val="20"/>
          <w:lang w:eastAsia="en-GB"/>
        </w:rPr>
      </w:pPr>
      <w:r w:rsidRPr="00CD3666">
        <w:rPr>
          <w:rFonts w:ascii="Corbel" w:eastAsia="Times New Roman" w:hAnsi="Corbel" w:cs="Arial"/>
          <w:b/>
          <w:sz w:val="20"/>
          <w:szCs w:val="20"/>
          <w:lang w:eastAsia="en-GB"/>
        </w:rPr>
        <w:t>Health</w:t>
      </w:r>
      <w:r w:rsidR="00E56D44" w:rsidRPr="00E56D44">
        <w:rPr>
          <w:rFonts w:ascii="Corbel" w:eastAsia="Times New Roman" w:hAnsi="Corbel" w:cs="Arial"/>
          <w:b/>
          <w:sz w:val="20"/>
          <w:szCs w:val="20"/>
          <w:lang w:eastAsia="en-GB"/>
        </w:rPr>
        <w:t xml:space="preserve"> data</w:t>
      </w:r>
    </w:p>
    <w:p w:rsidR="00E56D44" w:rsidRPr="00E56D44" w:rsidRDefault="00E56D44" w:rsidP="00E56D44">
      <w:pPr>
        <w:numPr>
          <w:ilvl w:val="1"/>
          <w:numId w:val="14"/>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Protection of medical data as sensitive data (regulatory framework, main principles, jurisprudence)</w:t>
      </w:r>
    </w:p>
    <w:p w:rsidR="00E56D44" w:rsidRPr="00E56D44" w:rsidRDefault="00E56D44" w:rsidP="00E56D44">
      <w:pPr>
        <w:numPr>
          <w:ilvl w:val="1"/>
          <w:numId w:val="14"/>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 xml:space="preserve">Challenges related to electronic medical records </w:t>
      </w:r>
    </w:p>
    <w:p w:rsidR="00E56D44" w:rsidRPr="00E56D44" w:rsidRDefault="00E56D44" w:rsidP="00E56D44">
      <w:pPr>
        <w:numPr>
          <w:ilvl w:val="1"/>
          <w:numId w:val="14"/>
        </w:numPr>
        <w:spacing w:after="0" w:line="240" w:lineRule="auto"/>
        <w:jc w:val="both"/>
        <w:rPr>
          <w:rFonts w:ascii="Corbel" w:eastAsia="Times New Roman" w:hAnsi="Corbel" w:cs="Arial"/>
          <w:sz w:val="20"/>
          <w:szCs w:val="20"/>
          <w:lang w:eastAsia="en-GB"/>
        </w:rPr>
      </w:pPr>
      <w:proofErr w:type="spellStart"/>
      <w:r w:rsidRPr="00E56D44">
        <w:rPr>
          <w:rFonts w:ascii="Corbel" w:eastAsia="Times New Roman" w:hAnsi="Corbel" w:cs="Arial"/>
          <w:sz w:val="20"/>
          <w:szCs w:val="20"/>
          <w:lang w:eastAsia="en-GB"/>
        </w:rPr>
        <w:t>Anonymisation</w:t>
      </w:r>
      <w:proofErr w:type="spellEnd"/>
      <w:r w:rsidRPr="00E56D44">
        <w:rPr>
          <w:rFonts w:ascii="Corbel" w:eastAsia="Times New Roman" w:hAnsi="Corbel" w:cs="Arial"/>
          <w:sz w:val="20"/>
          <w:szCs w:val="20"/>
          <w:lang w:eastAsia="en-GB"/>
        </w:rPr>
        <w:t xml:space="preserve"> and </w:t>
      </w:r>
      <w:proofErr w:type="spellStart"/>
      <w:r w:rsidRPr="00E56D44">
        <w:rPr>
          <w:rFonts w:ascii="Corbel" w:eastAsia="Times New Roman" w:hAnsi="Corbel" w:cs="Arial"/>
          <w:sz w:val="20"/>
          <w:szCs w:val="20"/>
          <w:lang w:eastAsia="en-GB"/>
        </w:rPr>
        <w:t>pseudonymisation</w:t>
      </w:r>
      <w:proofErr w:type="spellEnd"/>
      <w:r w:rsidRPr="00E56D44">
        <w:rPr>
          <w:rFonts w:ascii="Corbel" w:eastAsia="Times New Roman" w:hAnsi="Corbel" w:cs="Arial"/>
          <w:sz w:val="20"/>
          <w:szCs w:val="20"/>
          <w:lang w:eastAsia="en-GB"/>
        </w:rPr>
        <w:t xml:space="preserve"> in health, clinical trials </w:t>
      </w:r>
    </w:p>
    <w:p w:rsidR="00E56D44" w:rsidRPr="00E56D44" w:rsidRDefault="00E56D44" w:rsidP="00CD3666">
      <w:pPr>
        <w:numPr>
          <w:ilvl w:val="1"/>
          <w:numId w:val="14"/>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 xml:space="preserve">New technologies, wearables, internet of things in health sector </w:t>
      </w:r>
    </w:p>
    <w:p w:rsidR="00E56D44" w:rsidRPr="00E56D44" w:rsidRDefault="00CD3666" w:rsidP="00E56D44">
      <w:pPr>
        <w:numPr>
          <w:ilvl w:val="0"/>
          <w:numId w:val="7"/>
        </w:numPr>
        <w:spacing w:after="0" w:line="240" w:lineRule="auto"/>
        <w:jc w:val="both"/>
        <w:rPr>
          <w:rFonts w:ascii="Corbel" w:eastAsia="Times New Roman" w:hAnsi="Corbel" w:cs="Arial"/>
          <w:sz w:val="20"/>
          <w:szCs w:val="20"/>
          <w:lang w:val="fr-FR" w:eastAsia="en-GB"/>
        </w:rPr>
      </w:pPr>
      <w:r w:rsidRPr="00CD3666">
        <w:rPr>
          <w:rFonts w:ascii="Corbel" w:eastAsia="Times New Roman" w:hAnsi="Corbel" w:cs="Arial"/>
          <w:b/>
          <w:sz w:val="20"/>
          <w:szCs w:val="20"/>
          <w:lang w:val="fr-FR" w:eastAsia="en-GB"/>
        </w:rPr>
        <w:t>Media</w:t>
      </w:r>
      <w:r w:rsidR="00E56D44" w:rsidRPr="00E56D44">
        <w:rPr>
          <w:rFonts w:ascii="Corbel" w:eastAsia="Times New Roman" w:hAnsi="Corbel" w:cs="Arial"/>
          <w:sz w:val="20"/>
          <w:szCs w:val="20"/>
          <w:lang w:val="fr-FR" w:eastAsia="en-GB"/>
        </w:rPr>
        <w:t xml:space="preserve"> (</w:t>
      </w:r>
      <w:proofErr w:type="spellStart"/>
      <w:r w:rsidR="00E56D44" w:rsidRPr="00E56D44">
        <w:rPr>
          <w:rFonts w:ascii="Corbel" w:eastAsia="Times New Roman" w:hAnsi="Corbel" w:cs="Arial"/>
          <w:sz w:val="20"/>
          <w:szCs w:val="20"/>
          <w:lang w:val="fr-FR" w:eastAsia="en-GB"/>
        </w:rPr>
        <w:t>traditional</w:t>
      </w:r>
      <w:proofErr w:type="spellEnd"/>
      <w:r w:rsidR="00E56D44" w:rsidRPr="00E56D44">
        <w:rPr>
          <w:rFonts w:ascii="Corbel" w:eastAsia="Times New Roman" w:hAnsi="Corbel" w:cs="Arial"/>
          <w:sz w:val="20"/>
          <w:szCs w:val="20"/>
          <w:lang w:val="fr-FR" w:eastAsia="en-GB"/>
        </w:rPr>
        <w:t xml:space="preserve"> &amp; non-</w:t>
      </w:r>
      <w:proofErr w:type="spellStart"/>
      <w:r w:rsidR="00E56D44" w:rsidRPr="00E56D44">
        <w:rPr>
          <w:rFonts w:ascii="Corbel" w:eastAsia="Times New Roman" w:hAnsi="Corbel" w:cs="Arial"/>
          <w:sz w:val="20"/>
          <w:szCs w:val="20"/>
          <w:lang w:val="fr-FR" w:eastAsia="en-GB"/>
        </w:rPr>
        <w:t>traditional</w:t>
      </w:r>
      <w:proofErr w:type="spellEnd"/>
      <w:r w:rsidR="00E56D44" w:rsidRPr="00E56D44">
        <w:rPr>
          <w:rFonts w:ascii="Corbel" w:eastAsia="Times New Roman" w:hAnsi="Corbel" w:cs="Arial"/>
          <w:sz w:val="20"/>
          <w:szCs w:val="20"/>
          <w:lang w:val="fr-FR" w:eastAsia="en-GB"/>
        </w:rPr>
        <w:t>)</w:t>
      </w:r>
    </w:p>
    <w:p w:rsidR="00E56D44" w:rsidRPr="00E56D44" w:rsidRDefault="00E56D44" w:rsidP="00E56D44">
      <w:pPr>
        <w:numPr>
          <w:ilvl w:val="0"/>
          <w:numId w:val="8"/>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Balancing freedom of expression and the right to privacy</w:t>
      </w:r>
    </w:p>
    <w:p w:rsidR="00E56D44" w:rsidRPr="00E56D44" w:rsidRDefault="00E56D44" w:rsidP="00E56D44">
      <w:pPr>
        <w:numPr>
          <w:ilvl w:val="0"/>
          <w:numId w:val="8"/>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Special role of media, protection of journalistic sources of information</w:t>
      </w:r>
    </w:p>
    <w:p w:rsidR="00E56D44" w:rsidRPr="00E56D44" w:rsidRDefault="00E56D44" w:rsidP="00E56D44">
      <w:pPr>
        <w:numPr>
          <w:ilvl w:val="0"/>
          <w:numId w:val="8"/>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Challenges related to online media (managing online newspapers’ archives, restrictions of access to media content via search engines, liability for the third- party content, journalistic use of unverified Internet sources)</w:t>
      </w:r>
    </w:p>
    <w:p w:rsidR="00E56D44" w:rsidRPr="00E56D44" w:rsidRDefault="00E56D44" w:rsidP="00CD3666">
      <w:pPr>
        <w:numPr>
          <w:ilvl w:val="0"/>
          <w:numId w:val="8"/>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Personal data protection and media (journalistic exemption)</w:t>
      </w:r>
    </w:p>
    <w:p w:rsidR="00E56D44" w:rsidRPr="00E56D44" w:rsidRDefault="00CD3666" w:rsidP="00E56D44">
      <w:pPr>
        <w:numPr>
          <w:ilvl w:val="0"/>
          <w:numId w:val="7"/>
        </w:numPr>
        <w:spacing w:after="0" w:line="240" w:lineRule="auto"/>
        <w:jc w:val="both"/>
        <w:rPr>
          <w:rFonts w:ascii="Corbel" w:eastAsia="Times New Roman" w:hAnsi="Corbel" w:cs="Arial"/>
          <w:b/>
          <w:sz w:val="20"/>
          <w:szCs w:val="20"/>
          <w:lang w:eastAsia="en-GB"/>
        </w:rPr>
      </w:pPr>
      <w:r>
        <w:rPr>
          <w:rFonts w:ascii="Corbel" w:eastAsia="Times New Roman" w:hAnsi="Corbel" w:cs="Arial"/>
          <w:sz w:val="20"/>
          <w:szCs w:val="20"/>
          <w:lang w:eastAsia="en-GB"/>
        </w:rPr>
        <w:t>E</w:t>
      </w:r>
      <w:r w:rsidR="00E56D44" w:rsidRPr="00E56D44">
        <w:rPr>
          <w:rFonts w:ascii="Corbel" w:eastAsia="Times New Roman" w:hAnsi="Corbel" w:cs="Arial"/>
          <w:b/>
          <w:sz w:val="20"/>
          <w:szCs w:val="20"/>
          <w:lang w:eastAsia="en-GB"/>
        </w:rPr>
        <w:t>-communications &amp; marketing</w:t>
      </w:r>
    </w:p>
    <w:p w:rsidR="00E56D44" w:rsidRPr="00E56D44" w:rsidRDefault="00E56D44" w:rsidP="00E56D44">
      <w:pPr>
        <w:numPr>
          <w:ilvl w:val="0"/>
          <w:numId w:val="8"/>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 xml:space="preserve">Confidentiality of electronic communications </w:t>
      </w:r>
    </w:p>
    <w:p w:rsidR="00E56D44" w:rsidRPr="00E56D44" w:rsidRDefault="00E56D44" w:rsidP="00E56D44">
      <w:pPr>
        <w:numPr>
          <w:ilvl w:val="0"/>
          <w:numId w:val="8"/>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Privacy policies, cookies regime</w:t>
      </w:r>
    </w:p>
    <w:p w:rsidR="00E56D44" w:rsidRPr="00E56D44" w:rsidRDefault="00E56D44" w:rsidP="00E56D44">
      <w:pPr>
        <w:numPr>
          <w:ilvl w:val="0"/>
          <w:numId w:val="8"/>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 xml:space="preserve">Profiling, selling of data </w:t>
      </w:r>
    </w:p>
    <w:p w:rsidR="00E56D44" w:rsidRPr="00E56D44" w:rsidRDefault="00E56D44" w:rsidP="00E56D44">
      <w:pPr>
        <w:numPr>
          <w:ilvl w:val="0"/>
          <w:numId w:val="8"/>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 xml:space="preserve">Spam </w:t>
      </w:r>
    </w:p>
    <w:p w:rsidR="00E56D44" w:rsidRPr="00E56D44" w:rsidRDefault="00E56D44" w:rsidP="00E56D44">
      <w:pPr>
        <w:numPr>
          <w:ilvl w:val="0"/>
          <w:numId w:val="8"/>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 xml:space="preserve">Data retention </w:t>
      </w:r>
    </w:p>
    <w:p w:rsidR="00E56D44" w:rsidRPr="00E56D44" w:rsidRDefault="00E56D44" w:rsidP="00CD3666">
      <w:pPr>
        <w:numPr>
          <w:ilvl w:val="0"/>
          <w:numId w:val="8"/>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Cyber security</w:t>
      </w:r>
    </w:p>
    <w:p w:rsidR="00E56D44" w:rsidRPr="00E56D44" w:rsidRDefault="00CD3666" w:rsidP="00E56D44">
      <w:pPr>
        <w:numPr>
          <w:ilvl w:val="0"/>
          <w:numId w:val="7"/>
        </w:numPr>
        <w:spacing w:after="0" w:line="240" w:lineRule="auto"/>
        <w:jc w:val="both"/>
        <w:rPr>
          <w:rFonts w:ascii="Corbel" w:eastAsia="Times New Roman" w:hAnsi="Corbel" w:cs="Arial"/>
          <w:sz w:val="20"/>
          <w:szCs w:val="20"/>
          <w:lang w:eastAsia="en-GB"/>
        </w:rPr>
      </w:pPr>
      <w:r>
        <w:rPr>
          <w:rFonts w:ascii="Corbel" w:eastAsia="Times New Roman" w:hAnsi="Corbel" w:cs="Arial"/>
          <w:sz w:val="20"/>
          <w:szCs w:val="20"/>
          <w:lang w:eastAsia="en-GB"/>
        </w:rPr>
        <w:t>N</w:t>
      </w:r>
      <w:r w:rsidR="00E56D44" w:rsidRPr="00E56D44">
        <w:rPr>
          <w:rFonts w:ascii="Corbel" w:eastAsia="Times New Roman" w:hAnsi="Corbel" w:cs="Arial"/>
          <w:b/>
          <w:sz w:val="20"/>
          <w:szCs w:val="20"/>
          <w:lang w:eastAsia="en-GB"/>
        </w:rPr>
        <w:t>ew technologies</w:t>
      </w:r>
    </w:p>
    <w:p w:rsidR="00E56D44" w:rsidRPr="00E56D44" w:rsidRDefault="00E56D44" w:rsidP="00E56D44">
      <w:pPr>
        <w:numPr>
          <w:ilvl w:val="0"/>
          <w:numId w:val="8"/>
        </w:numPr>
        <w:spacing w:after="0" w:line="240" w:lineRule="auto"/>
        <w:jc w:val="both"/>
        <w:rPr>
          <w:rFonts w:ascii="Corbel" w:eastAsia="Times New Roman" w:hAnsi="Corbel" w:cs="Arial"/>
          <w:sz w:val="20"/>
          <w:szCs w:val="20"/>
          <w:lang w:val="fr-FR" w:eastAsia="en-GB"/>
        </w:rPr>
      </w:pPr>
      <w:r w:rsidRPr="00E56D44">
        <w:rPr>
          <w:rFonts w:ascii="Corbel" w:eastAsia="Times New Roman" w:hAnsi="Corbel" w:cs="Arial"/>
          <w:sz w:val="20"/>
          <w:szCs w:val="20"/>
          <w:lang w:val="fr-FR" w:eastAsia="en-GB"/>
        </w:rPr>
        <w:t xml:space="preserve">Surveillance </w:t>
      </w:r>
      <w:proofErr w:type="spellStart"/>
      <w:r w:rsidRPr="00E56D44">
        <w:rPr>
          <w:rFonts w:ascii="Corbel" w:eastAsia="Times New Roman" w:hAnsi="Corbel" w:cs="Arial"/>
          <w:sz w:val="20"/>
          <w:szCs w:val="20"/>
          <w:lang w:val="fr-FR" w:eastAsia="en-GB"/>
        </w:rPr>
        <w:t>technology</w:t>
      </w:r>
      <w:proofErr w:type="spellEnd"/>
      <w:r w:rsidRPr="00E56D44">
        <w:rPr>
          <w:rFonts w:ascii="Corbel" w:eastAsia="Times New Roman" w:hAnsi="Corbel" w:cs="Arial"/>
          <w:sz w:val="20"/>
          <w:szCs w:val="20"/>
          <w:lang w:val="fr-FR" w:eastAsia="en-GB"/>
        </w:rPr>
        <w:t xml:space="preserve"> (CCTV, drones, GPS etc.) </w:t>
      </w:r>
    </w:p>
    <w:p w:rsidR="00E56D44" w:rsidRPr="00E56D44" w:rsidRDefault="00E56D44" w:rsidP="00CD3666">
      <w:pPr>
        <w:numPr>
          <w:ilvl w:val="0"/>
          <w:numId w:val="8"/>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Internet of things, cloud computing, big data</w:t>
      </w:r>
    </w:p>
    <w:p w:rsidR="00E56D44" w:rsidRPr="00E56D44" w:rsidRDefault="00CD3666" w:rsidP="00E56D44">
      <w:pPr>
        <w:numPr>
          <w:ilvl w:val="0"/>
          <w:numId w:val="7"/>
        </w:numPr>
        <w:spacing w:after="0" w:line="240" w:lineRule="auto"/>
        <w:jc w:val="both"/>
        <w:rPr>
          <w:rFonts w:ascii="Corbel" w:eastAsia="Times New Roman" w:hAnsi="Corbel" w:cs="Arial"/>
          <w:sz w:val="20"/>
          <w:szCs w:val="20"/>
          <w:lang w:eastAsia="en-GB"/>
        </w:rPr>
      </w:pPr>
      <w:r w:rsidRPr="00CD3666">
        <w:rPr>
          <w:rFonts w:ascii="Corbel" w:eastAsia="Times New Roman" w:hAnsi="Corbel" w:cs="Arial"/>
          <w:b/>
          <w:sz w:val="20"/>
          <w:szCs w:val="20"/>
          <w:lang w:eastAsia="en-GB"/>
        </w:rPr>
        <w:t>W</w:t>
      </w:r>
      <w:r w:rsidR="00E56D44" w:rsidRPr="00E56D44">
        <w:rPr>
          <w:rFonts w:ascii="Corbel" w:eastAsia="Times New Roman" w:hAnsi="Corbel" w:cs="Arial"/>
          <w:b/>
          <w:sz w:val="20"/>
          <w:szCs w:val="20"/>
          <w:lang w:eastAsia="en-GB"/>
        </w:rPr>
        <w:t xml:space="preserve">orkplace </w:t>
      </w:r>
    </w:p>
    <w:p w:rsidR="00E56D44" w:rsidRPr="00E56D44" w:rsidRDefault="00E56D44" w:rsidP="00E56D44">
      <w:pPr>
        <w:numPr>
          <w:ilvl w:val="0"/>
          <w:numId w:val="9"/>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Notion of privacy in a professional field</w:t>
      </w:r>
    </w:p>
    <w:p w:rsidR="00E56D44" w:rsidRPr="00E56D44" w:rsidRDefault="00E56D44" w:rsidP="00E56D44">
      <w:pPr>
        <w:numPr>
          <w:ilvl w:val="0"/>
          <w:numId w:val="8"/>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Surveillance of communication in a workplace, processing employees’ data (</w:t>
      </w:r>
      <w:r w:rsidR="00CD3666">
        <w:rPr>
          <w:rFonts w:ascii="Corbel" w:eastAsia="Times New Roman" w:hAnsi="Corbel" w:cs="Arial"/>
          <w:sz w:val="20"/>
          <w:szCs w:val="20"/>
          <w:lang w:eastAsia="en-GB"/>
        </w:rPr>
        <w:t>including the issue of consent)</w:t>
      </w:r>
    </w:p>
    <w:p w:rsidR="00E56D44" w:rsidRPr="00E56D44" w:rsidRDefault="00E56D44" w:rsidP="00E56D44">
      <w:pPr>
        <w:numPr>
          <w:ilvl w:val="0"/>
          <w:numId w:val="9"/>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 xml:space="preserve">Protection of whistleblowers </w:t>
      </w:r>
    </w:p>
    <w:p w:rsidR="00E56D44" w:rsidRPr="00E56D44" w:rsidRDefault="00E56D44" w:rsidP="00C50495">
      <w:pPr>
        <w:numPr>
          <w:ilvl w:val="0"/>
          <w:numId w:val="9"/>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 xml:space="preserve">Professional secrecy </w:t>
      </w:r>
    </w:p>
    <w:p w:rsidR="00E56D44" w:rsidRPr="00E56D44" w:rsidRDefault="00E56D44" w:rsidP="00C50495">
      <w:pPr>
        <w:numPr>
          <w:ilvl w:val="0"/>
          <w:numId w:val="13"/>
        </w:numPr>
        <w:spacing w:after="0" w:line="240" w:lineRule="auto"/>
        <w:ind w:left="426" w:hanging="142"/>
        <w:jc w:val="both"/>
        <w:rPr>
          <w:rFonts w:ascii="Corbel" w:eastAsia="Times New Roman" w:hAnsi="Corbel" w:cs="Arial"/>
          <w:b/>
          <w:bCs/>
          <w:sz w:val="20"/>
          <w:szCs w:val="20"/>
          <w:lang w:val="en-CA" w:eastAsia="en-GB"/>
        </w:rPr>
      </w:pPr>
      <w:r w:rsidRPr="00E56D44">
        <w:rPr>
          <w:rFonts w:ascii="Corbel" w:eastAsia="Times New Roman" w:hAnsi="Corbel" w:cs="Arial"/>
          <w:b/>
          <w:bCs/>
          <w:sz w:val="20"/>
          <w:szCs w:val="20"/>
          <w:lang w:val="en-CA" w:eastAsia="en-GB"/>
        </w:rPr>
        <w:t>Enforcement:</w:t>
      </w:r>
    </w:p>
    <w:p w:rsidR="00E56D44" w:rsidRPr="00E56D44" w:rsidRDefault="00E56D44" w:rsidP="00E56D44">
      <w:pPr>
        <w:numPr>
          <w:ilvl w:val="0"/>
          <w:numId w:val="7"/>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b/>
          <w:sz w:val="20"/>
          <w:szCs w:val="20"/>
          <w:lang w:eastAsia="en-GB"/>
        </w:rPr>
        <w:t>Administrative, criminal and civil remedies</w:t>
      </w:r>
    </w:p>
    <w:p w:rsidR="00E56D44" w:rsidRPr="00E56D44" w:rsidRDefault="00E56D44" w:rsidP="00E56D44">
      <w:pPr>
        <w:numPr>
          <w:ilvl w:val="0"/>
          <w:numId w:val="10"/>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Data subjects’ rights</w:t>
      </w:r>
    </w:p>
    <w:p w:rsidR="00E56D44" w:rsidRPr="00E56D44" w:rsidRDefault="00E56D44" w:rsidP="00E56D44">
      <w:pPr>
        <w:numPr>
          <w:ilvl w:val="0"/>
          <w:numId w:val="10"/>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Legal remedies available to victims of violations of the right to privacy/data protection (civil, criminal and administrative law regimes) and sanctions for breaches</w:t>
      </w:r>
    </w:p>
    <w:p w:rsidR="00E56D44" w:rsidRPr="00E56D44" w:rsidRDefault="00E56D44" w:rsidP="002E3C4A">
      <w:pPr>
        <w:numPr>
          <w:ilvl w:val="0"/>
          <w:numId w:val="10"/>
        </w:numPr>
        <w:spacing w:after="0" w:line="240" w:lineRule="auto"/>
        <w:jc w:val="both"/>
        <w:rPr>
          <w:rFonts w:ascii="Corbel" w:eastAsia="Times New Roman" w:hAnsi="Corbel" w:cs="Arial"/>
          <w:sz w:val="20"/>
          <w:szCs w:val="20"/>
          <w:lang w:eastAsia="en-GB"/>
        </w:rPr>
      </w:pPr>
      <w:r w:rsidRPr="00E56D44">
        <w:rPr>
          <w:rFonts w:ascii="Corbel" w:eastAsia="Times New Roman" w:hAnsi="Corbel" w:cs="Arial"/>
          <w:sz w:val="20"/>
          <w:szCs w:val="20"/>
          <w:lang w:eastAsia="en-GB"/>
        </w:rPr>
        <w:t xml:space="preserve">Role of Data Protection Authorities </w:t>
      </w:r>
    </w:p>
    <w:p w:rsidR="00E56D44" w:rsidRPr="00E56D44" w:rsidRDefault="002E3C4A" w:rsidP="00E56D44">
      <w:pPr>
        <w:numPr>
          <w:ilvl w:val="0"/>
          <w:numId w:val="7"/>
        </w:numPr>
        <w:spacing w:after="0" w:line="240" w:lineRule="auto"/>
        <w:jc w:val="both"/>
        <w:rPr>
          <w:rFonts w:ascii="Corbel" w:eastAsia="Times New Roman" w:hAnsi="Corbel" w:cs="Arial"/>
          <w:sz w:val="20"/>
          <w:szCs w:val="20"/>
          <w:lang w:eastAsia="en-GB"/>
        </w:rPr>
      </w:pPr>
      <w:r>
        <w:rPr>
          <w:rFonts w:ascii="Corbel" w:eastAsia="Times New Roman" w:hAnsi="Corbel" w:cs="Arial"/>
          <w:b/>
          <w:sz w:val="20"/>
          <w:szCs w:val="20"/>
          <w:lang w:eastAsia="en-GB"/>
        </w:rPr>
        <w:t>International</w:t>
      </w:r>
      <w:r w:rsidR="00E56D44" w:rsidRPr="00E56D44">
        <w:rPr>
          <w:rFonts w:ascii="Corbel" w:eastAsia="Times New Roman" w:hAnsi="Corbel" w:cs="Arial"/>
          <w:b/>
          <w:sz w:val="20"/>
          <w:szCs w:val="20"/>
          <w:lang w:eastAsia="en-GB"/>
        </w:rPr>
        <w:t xml:space="preserve"> data flows</w:t>
      </w:r>
      <w:r w:rsidR="00E56D44" w:rsidRPr="00E56D44">
        <w:rPr>
          <w:rFonts w:ascii="Corbel" w:eastAsia="Times New Roman" w:hAnsi="Corbel" w:cs="Arial"/>
          <w:sz w:val="20"/>
          <w:szCs w:val="20"/>
          <w:lang w:eastAsia="en-GB"/>
        </w:rPr>
        <w:t xml:space="preserve"> (principles of transferring data to third countries, grounds for transferring data</w:t>
      </w:r>
      <w:r>
        <w:rPr>
          <w:rFonts w:ascii="Corbel" w:eastAsia="Times New Roman" w:hAnsi="Corbel" w:cs="Arial"/>
          <w:sz w:val="20"/>
          <w:szCs w:val="20"/>
          <w:lang w:eastAsia="en-GB"/>
        </w:rPr>
        <w:t>)</w:t>
      </w:r>
    </w:p>
    <w:p w:rsidR="00E56D44" w:rsidRPr="00E56D44" w:rsidRDefault="00E56D44" w:rsidP="00E56D44">
      <w:pPr>
        <w:spacing w:after="0" w:line="240" w:lineRule="auto"/>
        <w:ind w:left="1080"/>
        <w:jc w:val="both"/>
        <w:rPr>
          <w:rFonts w:ascii="Corbel" w:eastAsia="Times New Roman" w:hAnsi="Corbel" w:cs="Arial"/>
          <w:sz w:val="20"/>
          <w:szCs w:val="20"/>
          <w:lang w:eastAsia="en-GB"/>
        </w:rPr>
      </w:pPr>
    </w:p>
    <w:p w:rsidR="005034EB" w:rsidRPr="00D93E1A" w:rsidRDefault="00CE7151" w:rsidP="00A94B42">
      <w:pPr>
        <w:autoSpaceDE w:val="0"/>
        <w:autoSpaceDN w:val="0"/>
        <w:adjustRightInd w:val="0"/>
        <w:spacing w:after="120" w:line="240" w:lineRule="auto"/>
        <w:jc w:val="both"/>
        <w:rPr>
          <w:rFonts w:ascii="Corbel" w:hAnsi="Corbel" w:cs="Calibri"/>
          <w:b/>
          <w:color w:val="1498BF"/>
        </w:rPr>
      </w:pPr>
      <w:r w:rsidRPr="00CE7151">
        <w:rPr>
          <w:rFonts w:ascii="Corbel" w:hAnsi="Corbel" w:cs="Calibri"/>
          <w:b/>
          <w:color w:val="1498BF"/>
        </w:rPr>
        <w:t>The cross-border launch</w:t>
      </w:r>
    </w:p>
    <w:p w:rsidR="009E1DEB" w:rsidRPr="00CE7151" w:rsidRDefault="005034EB" w:rsidP="00A94B42">
      <w:pPr>
        <w:autoSpaceDE w:val="0"/>
        <w:autoSpaceDN w:val="0"/>
        <w:adjustRightInd w:val="0"/>
        <w:spacing w:after="120" w:line="240" w:lineRule="auto"/>
        <w:jc w:val="both"/>
        <w:rPr>
          <w:rFonts w:ascii="Corbel" w:hAnsi="Corbel" w:cs="Calibri"/>
        </w:rPr>
      </w:pPr>
      <w:r w:rsidRPr="00CE7151">
        <w:rPr>
          <w:rFonts w:ascii="Corbel" w:hAnsi="Corbel" w:cs="Calibri"/>
        </w:rPr>
        <w:t xml:space="preserve">The </w:t>
      </w:r>
      <w:r w:rsidR="001B4E99" w:rsidRPr="00CE7151">
        <w:rPr>
          <w:rFonts w:ascii="Corbel" w:hAnsi="Corbel" w:cs="Calibri"/>
        </w:rPr>
        <w:t>event</w:t>
      </w:r>
      <w:r w:rsidRPr="00CE7151">
        <w:rPr>
          <w:rFonts w:ascii="Corbel" w:hAnsi="Corbel" w:cs="Calibri"/>
        </w:rPr>
        <w:t xml:space="preserve"> is </w:t>
      </w:r>
      <w:proofErr w:type="spellStart"/>
      <w:r w:rsidRPr="00CE7151">
        <w:rPr>
          <w:rFonts w:ascii="Corbel" w:hAnsi="Corbel" w:cs="Calibri"/>
        </w:rPr>
        <w:t>organised</w:t>
      </w:r>
      <w:proofErr w:type="spellEnd"/>
      <w:r w:rsidRPr="00CE7151">
        <w:rPr>
          <w:rFonts w:ascii="Corbel" w:hAnsi="Corbel" w:cs="Calibri"/>
        </w:rPr>
        <w:t xml:space="preserve"> under the </w:t>
      </w:r>
      <w:hyperlink r:id="rId12" w:history="1">
        <w:r w:rsidR="008B66C5" w:rsidRPr="001A214D">
          <w:rPr>
            <w:rStyle w:val="Hyperlink"/>
            <w:rFonts w:ascii="Corbel" w:hAnsi="Corbel" w:cs="Calibri"/>
            <w:b/>
          </w:rPr>
          <w:t>EU-</w:t>
        </w:r>
        <w:proofErr w:type="spellStart"/>
        <w:r w:rsidR="008B66C5" w:rsidRPr="001A214D">
          <w:rPr>
            <w:rStyle w:val="Hyperlink"/>
            <w:rFonts w:ascii="Corbel" w:hAnsi="Corbel" w:cs="Calibri"/>
            <w:b/>
          </w:rPr>
          <w:t>CoE</w:t>
        </w:r>
        <w:proofErr w:type="spellEnd"/>
        <w:r w:rsidR="008B66C5" w:rsidRPr="001A214D">
          <w:rPr>
            <w:rStyle w:val="Hyperlink"/>
            <w:rFonts w:ascii="Corbel" w:hAnsi="Corbel" w:cs="Calibri"/>
          </w:rPr>
          <w:t xml:space="preserve"> </w:t>
        </w:r>
        <w:r w:rsidRPr="001A214D">
          <w:rPr>
            <w:rStyle w:val="Hyperlink"/>
            <w:rFonts w:ascii="Corbel" w:hAnsi="Corbel" w:cs="Calibri"/>
            <w:b/>
          </w:rPr>
          <w:t>HELP in EU Project</w:t>
        </w:r>
      </w:hyperlink>
      <w:r w:rsidRPr="00CE7151">
        <w:rPr>
          <w:rFonts w:ascii="Corbel" w:hAnsi="Corbel" w:cs="Calibri"/>
        </w:rPr>
        <w:t xml:space="preserve">, funded by the European Union and implemented by the Council of Europe through its HELP Programme. </w:t>
      </w:r>
      <w:r w:rsidR="001B4E99" w:rsidRPr="00CE7151">
        <w:rPr>
          <w:rFonts w:ascii="Corbel" w:hAnsi="Corbel" w:cs="Calibri"/>
        </w:rPr>
        <w:t xml:space="preserve">Its main goal is to gather </w:t>
      </w:r>
      <w:r w:rsidR="002E3C4A">
        <w:rPr>
          <w:rFonts w:ascii="Corbel" w:hAnsi="Corbel" w:cs="Calibri"/>
        </w:rPr>
        <w:t>legal professionals</w:t>
      </w:r>
      <w:r w:rsidR="003649A1">
        <w:rPr>
          <w:rFonts w:ascii="Corbel" w:hAnsi="Corbel" w:cs="Calibri"/>
        </w:rPr>
        <w:t xml:space="preserve"> from EU Member States (MS)</w:t>
      </w:r>
      <w:r w:rsidR="00483C7B" w:rsidRPr="00CE7151">
        <w:rPr>
          <w:rFonts w:ascii="Corbel" w:hAnsi="Corbel" w:cs="Calibri"/>
        </w:rPr>
        <w:t xml:space="preserve"> in the HELP tutored course on </w:t>
      </w:r>
      <w:r w:rsidR="002E3C4A">
        <w:rPr>
          <w:rFonts w:ascii="Corbel" w:hAnsi="Corbel" w:cs="Calibri"/>
          <w:i/>
        </w:rPr>
        <w:t>Data Protection and Privacy Rights</w:t>
      </w:r>
      <w:r w:rsidR="00483C7B" w:rsidRPr="00CE7151">
        <w:rPr>
          <w:rFonts w:ascii="Corbel" w:hAnsi="Corbel" w:cs="Calibri"/>
        </w:rPr>
        <w:t xml:space="preserve"> in a </w:t>
      </w:r>
      <w:r w:rsidR="00E63442">
        <w:rPr>
          <w:rFonts w:ascii="Corbel" w:hAnsi="Corbel" w:cs="Calibri"/>
        </w:rPr>
        <w:t>day and a half</w:t>
      </w:r>
      <w:r w:rsidR="00483C7B" w:rsidRPr="00CE7151">
        <w:rPr>
          <w:rFonts w:ascii="Corbel" w:hAnsi="Corbel" w:cs="Calibri"/>
        </w:rPr>
        <w:t xml:space="preserve"> event combining presentations and exchanges on content </w:t>
      </w:r>
      <w:r w:rsidR="00F43AC3" w:rsidRPr="00CE7151">
        <w:rPr>
          <w:rFonts w:ascii="Corbel" w:hAnsi="Corbel" w:cs="Calibri"/>
        </w:rPr>
        <w:t>with</w:t>
      </w:r>
      <w:r w:rsidR="00483C7B" w:rsidRPr="00CE7151">
        <w:rPr>
          <w:rFonts w:ascii="Corbel" w:hAnsi="Corbel" w:cs="Calibri"/>
        </w:rPr>
        <w:t xml:space="preserve"> an introduction to the HE</w:t>
      </w:r>
      <w:r w:rsidR="00E63442">
        <w:rPr>
          <w:rFonts w:ascii="Corbel" w:hAnsi="Corbel" w:cs="Calibri"/>
        </w:rPr>
        <w:t>LP platform and the course page.</w:t>
      </w:r>
      <w:r w:rsidR="00483C7B" w:rsidRPr="00CE7151">
        <w:rPr>
          <w:rFonts w:ascii="Corbel" w:hAnsi="Corbel" w:cs="Calibri"/>
        </w:rPr>
        <w:t xml:space="preserve"> </w:t>
      </w:r>
      <w:r w:rsidR="00446CB1">
        <w:rPr>
          <w:rFonts w:ascii="Corbel" w:hAnsi="Corbel" w:cs="Calibri"/>
        </w:rPr>
        <w:t xml:space="preserve">The event will be </w:t>
      </w:r>
      <w:proofErr w:type="spellStart"/>
      <w:r w:rsidR="00446CB1">
        <w:rPr>
          <w:rFonts w:ascii="Corbel" w:hAnsi="Corbel" w:cs="Calibri"/>
        </w:rPr>
        <w:t>organised</w:t>
      </w:r>
      <w:proofErr w:type="spellEnd"/>
      <w:r w:rsidR="00446CB1">
        <w:rPr>
          <w:rFonts w:ascii="Corbel" w:hAnsi="Corbel" w:cs="Calibri"/>
        </w:rPr>
        <w:t xml:space="preserve"> by the National Institute of </w:t>
      </w:r>
      <w:proofErr w:type="spellStart"/>
      <w:r w:rsidR="00446CB1">
        <w:rPr>
          <w:rFonts w:ascii="Corbel" w:hAnsi="Corbel" w:cs="Calibri"/>
        </w:rPr>
        <w:t>Magistrature</w:t>
      </w:r>
      <w:proofErr w:type="spellEnd"/>
      <w:r w:rsidR="00446CB1">
        <w:rPr>
          <w:rFonts w:ascii="Corbel" w:hAnsi="Corbel" w:cs="Calibri"/>
        </w:rPr>
        <w:t xml:space="preserve"> of Romania as partner in the project.</w:t>
      </w:r>
    </w:p>
    <w:p w:rsidR="004C4342" w:rsidRPr="00CE7151" w:rsidRDefault="004C4342" w:rsidP="004C4342">
      <w:pPr>
        <w:autoSpaceDE w:val="0"/>
        <w:autoSpaceDN w:val="0"/>
        <w:adjustRightInd w:val="0"/>
        <w:spacing w:after="0" w:line="240" w:lineRule="auto"/>
        <w:jc w:val="both"/>
        <w:rPr>
          <w:rFonts w:ascii="Corbel" w:hAnsi="Corbel" w:cs="Calibri"/>
          <w:b/>
          <w:color w:val="1498BF"/>
        </w:rPr>
      </w:pPr>
      <w:r w:rsidRPr="00CE7151">
        <w:rPr>
          <w:rFonts w:ascii="Corbel" w:hAnsi="Corbel" w:cs="Calibri"/>
        </w:rPr>
        <w:t xml:space="preserve">The </w:t>
      </w:r>
      <w:r w:rsidR="001B4E99" w:rsidRPr="00CE7151">
        <w:rPr>
          <w:rFonts w:ascii="Corbel" w:hAnsi="Corbel" w:cs="Calibri"/>
        </w:rPr>
        <w:t>cross-border launch</w:t>
      </w:r>
      <w:r w:rsidRPr="00CE7151">
        <w:rPr>
          <w:rFonts w:ascii="Corbel" w:hAnsi="Corbel" w:cs="Calibri"/>
        </w:rPr>
        <w:t xml:space="preserve"> will be held on </w:t>
      </w:r>
      <w:r w:rsidR="00883869" w:rsidRPr="00883869">
        <w:rPr>
          <w:rFonts w:ascii="Corbel" w:hAnsi="Corbel" w:cs="Calibri"/>
          <w:b/>
        </w:rPr>
        <w:t>18-</w:t>
      </w:r>
      <w:r w:rsidR="00883869">
        <w:rPr>
          <w:rFonts w:ascii="Corbel" w:hAnsi="Corbel" w:cs="Calibri"/>
          <w:b/>
        </w:rPr>
        <w:t>19</w:t>
      </w:r>
      <w:r w:rsidR="005A5FD8">
        <w:rPr>
          <w:rFonts w:ascii="Corbel" w:hAnsi="Corbel" w:cs="Calibri"/>
          <w:b/>
        </w:rPr>
        <w:t xml:space="preserve"> June</w:t>
      </w:r>
      <w:r w:rsidR="003649A1" w:rsidRPr="00267080">
        <w:rPr>
          <w:rFonts w:ascii="Corbel" w:hAnsi="Corbel" w:cs="Calibri"/>
          <w:b/>
        </w:rPr>
        <w:t xml:space="preserve"> 2019</w:t>
      </w:r>
      <w:r w:rsidRPr="00267080">
        <w:rPr>
          <w:rFonts w:ascii="Corbel" w:hAnsi="Corbel" w:cs="Calibri"/>
          <w:b/>
        </w:rPr>
        <w:t xml:space="preserve"> </w:t>
      </w:r>
      <w:r w:rsidR="001B4E99" w:rsidRPr="00267080">
        <w:rPr>
          <w:rFonts w:ascii="Corbel" w:hAnsi="Corbel" w:cs="Calibri"/>
          <w:b/>
        </w:rPr>
        <w:t xml:space="preserve">at the premises of the </w:t>
      </w:r>
      <w:r w:rsidR="002E3C4A">
        <w:rPr>
          <w:rFonts w:ascii="Corbel" w:hAnsi="Corbel" w:cs="Calibri"/>
          <w:b/>
        </w:rPr>
        <w:t xml:space="preserve">National Institute of </w:t>
      </w:r>
      <w:proofErr w:type="spellStart"/>
      <w:r w:rsidR="002E3C4A">
        <w:rPr>
          <w:rFonts w:ascii="Corbel" w:hAnsi="Corbel" w:cs="Calibri"/>
          <w:b/>
        </w:rPr>
        <w:t>Magistrature</w:t>
      </w:r>
      <w:proofErr w:type="spellEnd"/>
      <w:r w:rsidR="002E3C4A">
        <w:rPr>
          <w:rFonts w:ascii="Corbel" w:hAnsi="Corbel" w:cs="Calibri"/>
          <w:b/>
        </w:rPr>
        <w:t xml:space="preserve"> in Bucharest, Romania</w:t>
      </w:r>
      <w:r w:rsidRPr="00CE7151">
        <w:rPr>
          <w:rFonts w:ascii="Corbel" w:hAnsi="Corbel" w:cs="Calibri"/>
        </w:rPr>
        <w:t xml:space="preserve">. </w:t>
      </w:r>
      <w:r w:rsidR="00DE7B5D" w:rsidRPr="00CE7151">
        <w:rPr>
          <w:rFonts w:ascii="Corbel" w:hAnsi="Corbel" w:cs="Calibri"/>
        </w:rPr>
        <w:t>The working language will be English</w:t>
      </w:r>
      <w:r w:rsidR="003649A1">
        <w:rPr>
          <w:rFonts w:ascii="Corbel" w:hAnsi="Corbel" w:cs="Calibri"/>
        </w:rPr>
        <w:t xml:space="preserve"> (</w:t>
      </w:r>
      <w:r w:rsidR="008918AB">
        <w:rPr>
          <w:rFonts w:ascii="Corbel" w:hAnsi="Corbel" w:cs="Calibri"/>
        </w:rPr>
        <w:t>Romanian interpretation provided</w:t>
      </w:r>
      <w:r w:rsidR="003649A1">
        <w:rPr>
          <w:rFonts w:ascii="Corbel" w:hAnsi="Corbel" w:cs="Calibri"/>
        </w:rPr>
        <w:t>)</w:t>
      </w:r>
      <w:r w:rsidR="00DE7B5D" w:rsidRPr="00CE7151">
        <w:rPr>
          <w:rFonts w:ascii="Corbel" w:hAnsi="Corbel" w:cs="Calibri"/>
        </w:rPr>
        <w:t xml:space="preserve">. </w:t>
      </w:r>
      <w:r w:rsidR="005B06B2">
        <w:rPr>
          <w:rFonts w:ascii="Corbel" w:hAnsi="Corbel" w:cs="Calibri"/>
        </w:rPr>
        <w:t>The group will consist of</w:t>
      </w:r>
      <w:r w:rsidR="00DE7B5D" w:rsidRPr="00CE7151">
        <w:rPr>
          <w:rFonts w:ascii="Corbel" w:hAnsi="Corbel" w:cs="Calibri"/>
        </w:rPr>
        <w:t xml:space="preserve"> </w:t>
      </w:r>
      <w:r w:rsidR="00267080">
        <w:rPr>
          <w:rFonts w:ascii="Corbel" w:hAnsi="Corbel" w:cs="Calibri"/>
        </w:rPr>
        <w:t xml:space="preserve">up to </w:t>
      </w:r>
      <w:r w:rsidR="005A5FD8">
        <w:rPr>
          <w:rFonts w:ascii="Corbel" w:hAnsi="Corbel" w:cs="Calibri"/>
        </w:rPr>
        <w:t xml:space="preserve">80 </w:t>
      </w:r>
      <w:r w:rsidR="00E63442">
        <w:rPr>
          <w:rFonts w:ascii="Corbel" w:hAnsi="Corbel" w:cs="Calibri"/>
        </w:rPr>
        <w:t xml:space="preserve">legal professionals </w:t>
      </w:r>
      <w:r w:rsidR="003649A1">
        <w:rPr>
          <w:rFonts w:ascii="Corbel" w:hAnsi="Corbel" w:cs="Calibri"/>
        </w:rPr>
        <w:t>(judges, prosecutors and lawyers) who will take part in the launch event and later follow the course</w:t>
      </w:r>
      <w:r w:rsidR="008D11AA">
        <w:rPr>
          <w:rFonts w:ascii="Corbel" w:hAnsi="Corbel" w:cs="Calibri"/>
        </w:rPr>
        <w:t xml:space="preserve"> online on a dedicated page on the HELP platform.</w:t>
      </w:r>
    </w:p>
    <w:p w:rsidR="004C4342" w:rsidRPr="00D93E1A" w:rsidRDefault="004C4342" w:rsidP="00A94B42">
      <w:pPr>
        <w:autoSpaceDE w:val="0"/>
        <w:autoSpaceDN w:val="0"/>
        <w:adjustRightInd w:val="0"/>
        <w:spacing w:after="120" w:line="240" w:lineRule="auto"/>
        <w:jc w:val="both"/>
        <w:rPr>
          <w:rFonts w:ascii="Corbel" w:hAnsi="Corbel" w:cs="Calibri"/>
          <w:b/>
          <w:color w:val="1498BF"/>
        </w:rPr>
      </w:pPr>
      <w:r w:rsidRPr="00CE7151">
        <w:rPr>
          <w:rFonts w:ascii="Corbel" w:hAnsi="Corbel" w:cs="Calibri"/>
          <w:b/>
          <w:color w:val="1498BF"/>
        </w:rPr>
        <w:lastRenderedPageBreak/>
        <w:t>The Course</w:t>
      </w:r>
    </w:p>
    <w:p w:rsidR="00483C7B" w:rsidRPr="009E1DEB" w:rsidRDefault="00483C7B" w:rsidP="00DE7B5D">
      <w:pPr>
        <w:autoSpaceDE w:val="0"/>
        <w:autoSpaceDN w:val="0"/>
        <w:adjustRightInd w:val="0"/>
        <w:spacing w:after="0" w:line="240" w:lineRule="auto"/>
        <w:jc w:val="both"/>
        <w:rPr>
          <w:rFonts w:ascii="Corbel" w:hAnsi="Corbel" w:cs="Calibri"/>
        </w:rPr>
      </w:pPr>
      <w:r w:rsidRPr="009E1DEB">
        <w:rPr>
          <w:rFonts w:ascii="Corbel" w:hAnsi="Corbel" w:cs="Calibri"/>
        </w:rPr>
        <w:t>During the</w:t>
      </w:r>
      <w:r w:rsidR="001B4E99" w:rsidRPr="009E1DEB">
        <w:rPr>
          <w:rFonts w:ascii="Corbel" w:hAnsi="Corbel" w:cs="Calibri"/>
        </w:rPr>
        <w:t xml:space="preserve"> launch</w:t>
      </w:r>
      <w:r w:rsidRPr="009E1DEB">
        <w:rPr>
          <w:rFonts w:ascii="Corbel" w:hAnsi="Corbel" w:cs="Calibri"/>
        </w:rPr>
        <w:t xml:space="preserve">, the participants will be registered on </w:t>
      </w:r>
      <w:r w:rsidR="002E3C4A">
        <w:rPr>
          <w:rFonts w:ascii="Corbel" w:hAnsi="Corbel" w:cs="Calibri"/>
        </w:rPr>
        <w:t>their respective</w:t>
      </w:r>
      <w:r w:rsidR="001A214D">
        <w:rPr>
          <w:rFonts w:ascii="Corbel" w:hAnsi="Corbel" w:cs="Calibri"/>
        </w:rPr>
        <w:t xml:space="preserve"> national</w:t>
      </w:r>
      <w:r w:rsidR="002E3C4A">
        <w:rPr>
          <w:rFonts w:ascii="Corbel" w:hAnsi="Corbel" w:cs="Calibri"/>
        </w:rPr>
        <w:t xml:space="preserve"> </w:t>
      </w:r>
      <w:r w:rsidR="00267080">
        <w:rPr>
          <w:rFonts w:ascii="Corbel" w:hAnsi="Corbel" w:cs="Calibri"/>
        </w:rPr>
        <w:t>course page</w:t>
      </w:r>
      <w:r w:rsidR="002E3C4A">
        <w:rPr>
          <w:rFonts w:ascii="Corbel" w:hAnsi="Corbel" w:cs="Calibri"/>
        </w:rPr>
        <w:t>s</w:t>
      </w:r>
      <w:r w:rsidR="009C2637">
        <w:rPr>
          <w:rFonts w:ascii="Corbel" w:hAnsi="Corbel" w:cs="Calibri"/>
        </w:rPr>
        <w:t xml:space="preserve">, prepared in advance by the </w:t>
      </w:r>
      <w:r w:rsidR="002E3C4A">
        <w:rPr>
          <w:rFonts w:ascii="Corbel" w:hAnsi="Corbel" w:cs="Calibri"/>
        </w:rPr>
        <w:t xml:space="preserve">national </w:t>
      </w:r>
      <w:r w:rsidR="004C4342" w:rsidRPr="009E1DEB">
        <w:rPr>
          <w:rFonts w:ascii="Corbel" w:hAnsi="Corbel" w:cs="Calibri"/>
        </w:rPr>
        <w:t>tutor</w:t>
      </w:r>
      <w:r w:rsidR="009C2637">
        <w:rPr>
          <w:rFonts w:ascii="Corbel" w:hAnsi="Corbel" w:cs="Calibri"/>
        </w:rPr>
        <w:t>s</w:t>
      </w:r>
      <w:r w:rsidR="002E3C4A">
        <w:rPr>
          <w:rFonts w:ascii="Corbel" w:hAnsi="Corbel" w:cs="Calibri"/>
        </w:rPr>
        <w:t>. Over the following</w:t>
      </w:r>
      <w:r w:rsidR="004C4342" w:rsidRPr="009E1DEB">
        <w:rPr>
          <w:rFonts w:ascii="Corbel" w:hAnsi="Corbel" w:cs="Calibri"/>
        </w:rPr>
        <w:t xml:space="preserve"> 3 months and based on the planning set by the tutors, the participants will go through the </w:t>
      </w:r>
      <w:r w:rsidR="00CE7151" w:rsidRPr="009E1DEB">
        <w:rPr>
          <w:rFonts w:ascii="Corbel" w:hAnsi="Corbel" w:cs="Calibri"/>
        </w:rPr>
        <w:t xml:space="preserve">online </w:t>
      </w:r>
      <w:r w:rsidR="009C2637">
        <w:rPr>
          <w:rFonts w:ascii="Corbel" w:hAnsi="Corbel" w:cs="Calibri"/>
        </w:rPr>
        <w:t>course (</w:t>
      </w:r>
      <w:r w:rsidR="004C4342" w:rsidRPr="009E1DEB">
        <w:rPr>
          <w:rFonts w:ascii="Corbel" w:hAnsi="Corbel" w:cs="Calibri"/>
        </w:rPr>
        <w:t xml:space="preserve">accessible in </w:t>
      </w:r>
      <w:r w:rsidR="002E3C4A">
        <w:rPr>
          <w:rFonts w:ascii="Corbel" w:hAnsi="Corbel" w:cs="Calibri"/>
        </w:rPr>
        <w:t>their national language</w:t>
      </w:r>
      <w:r w:rsidR="009C2637">
        <w:rPr>
          <w:rFonts w:ascii="Corbel" w:hAnsi="Corbel" w:cs="Calibri"/>
        </w:rPr>
        <w:t>)</w:t>
      </w:r>
      <w:r w:rsidR="004C4342" w:rsidRPr="009E1DEB">
        <w:rPr>
          <w:rFonts w:ascii="Corbel" w:hAnsi="Corbel" w:cs="Calibri"/>
        </w:rPr>
        <w:t xml:space="preserve">. </w:t>
      </w:r>
      <w:r w:rsidR="00DE7B5D" w:rsidRPr="009E1DEB">
        <w:rPr>
          <w:rFonts w:ascii="Corbel" w:hAnsi="Corbel" w:cs="Calibri"/>
        </w:rPr>
        <w:t xml:space="preserve">The participants who have successfully completed the course and passed the evaluation set by the tutors will receive certificates issued by the HELP Programme of the Council of Europe. </w:t>
      </w:r>
      <w:r w:rsidR="004C4342" w:rsidRPr="009E1DEB">
        <w:rPr>
          <w:rFonts w:ascii="Corbel" w:hAnsi="Corbel" w:cs="Calibri"/>
        </w:rPr>
        <w:t xml:space="preserve"> </w:t>
      </w:r>
    </w:p>
    <w:p w:rsidR="005034EB" w:rsidRPr="00CE7151" w:rsidRDefault="005034EB" w:rsidP="005034EB">
      <w:pPr>
        <w:autoSpaceDE w:val="0"/>
        <w:autoSpaceDN w:val="0"/>
        <w:adjustRightInd w:val="0"/>
        <w:spacing w:after="0" w:line="240" w:lineRule="auto"/>
        <w:jc w:val="both"/>
        <w:rPr>
          <w:rFonts w:ascii="Corbel" w:hAnsi="Corbel"/>
        </w:rPr>
      </w:pPr>
    </w:p>
    <w:p w:rsidR="005034EB" w:rsidRPr="005B06B2" w:rsidRDefault="005034EB" w:rsidP="00A94B42">
      <w:pPr>
        <w:autoSpaceDE w:val="0"/>
        <w:autoSpaceDN w:val="0"/>
        <w:adjustRightInd w:val="0"/>
        <w:spacing w:after="120" w:line="240" w:lineRule="auto"/>
        <w:jc w:val="both"/>
        <w:rPr>
          <w:rFonts w:ascii="Corbel" w:hAnsi="Corbel" w:cs="Calibri"/>
          <w:b/>
          <w:bCs/>
        </w:rPr>
      </w:pPr>
      <w:r w:rsidRPr="00CE7151">
        <w:rPr>
          <w:rFonts w:ascii="Corbel" w:hAnsi="Corbel" w:cs="Calibri"/>
          <w:b/>
          <w:bCs/>
          <w:color w:val="1498BF"/>
        </w:rPr>
        <w:t>Preparation</w:t>
      </w:r>
      <w:r w:rsidRPr="00CE7151">
        <w:rPr>
          <w:rFonts w:ascii="Corbel" w:hAnsi="Corbel" w:cs="Calibri"/>
          <w:b/>
          <w:bCs/>
        </w:rPr>
        <w:t xml:space="preserve"> </w:t>
      </w:r>
    </w:p>
    <w:p w:rsidR="005034EB" w:rsidRPr="00CE7151" w:rsidRDefault="00630253" w:rsidP="00DE7B5D">
      <w:pPr>
        <w:autoSpaceDE w:val="0"/>
        <w:autoSpaceDN w:val="0"/>
        <w:adjustRightInd w:val="0"/>
        <w:spacing w:after="0" w:line="240" w:lineRule="auto"/>
        <w:jc w:val="both"/>
        <w:rPr>
          <w:rFonts w:ascii="Corbel" w:hAnsi="Corbel" w:cs="Calibri"/>
        </w:rPr>
      </w:pPr>
      <w:r w:rsidRPr="00CE7151">
        <w:rPr>
          <w:rFonts w:ascii="Corbel" w:hAnsi="Corbel" w:cs="Calibri"/>
        </w:rPr>
        <w:t xml:space="preserve">Before the </w:t>
      </w:r>
      <w:r w:rsidR="001B4E99" w:rsidRPr="00CE7151">
        <w:rPr>
          <w:rFonts w:ascii="Corbel" w:hAnsi="Corbel" w:cs="Calibri"/>
        </w:rPr>
        <w:t>Cross-border launch</w:t>
      </w:r>
      <w:r w:rsidR="005034EB" w:rsidRPr="00CE7151">
        <w:rPr>
          <w:rFonts w:ascii="Corbel" w:hAnsi="Corbel" w:cs="Calibri"/>
        </w:rPr>
        <w:t xml:space="preserve">, participants </w:t>
      </w:r>
      <w:r w:rsidR="000916CB">
        <w:rPr>
          <w:rFonts w:ascii="Corbel" w:hAnsi="Corbel" w:cs="Calibri"/>
        </w:rPr>
        <w:t xml:space="preserve">who do not yet have a HELP account </w:t>
      </w:r>
      <w:r w:rsidR="005034EB" w:rsidRPr="00CE7151">
        <w:rPr>
          <w:rFonts w:ascii="Corbel" w:hAnsi="Corbel" w:cs="Calibri"/>
        </w:rPr>
        <w:t xml:space="preserve">should: </w:t>
      </w:r>
    </w:p>
    <w:p w:rsidR="005034EB" w:rsidRPr="00CE7151" w:rsidRDefault="005034EB" w:rsidP="00DE7B5D">
      <w:pPr>
        <w:numPr>
          <w:ilvl w:val="0"/>
          <w:numId w:val="2"/>
        </w:numPr>
        <w:autoSpaceDE w:val="0"/>
        <w:autoSpaceDN w:val="0"/>
        <w:adjustRightInd w:val="0"/>
        <w:spacing w:after="0" w:line="240" w:lineRule="auto"/>
        <w:ind w:left="284" w:hanging="284"/>
        <w:jc w:val="both"/>
        <w:rPr>
          <w:rFonts w:ascii="Corbel" w:hAnsi="Corbel" w:cs="Calibri"/>
        </w:rPr>
      </w:pPr>
      <w:r w:rsidRPr="00CE7151">
        <w:rPr>
          <w:rFonts w:ascii="Corbel" w:hAnsi="Corbel" w:cs="Calibri"/>
        </w:rPr>
        <w:t xml:space="preserve">Watch the (5 minute) video on the HELP methodology: </w:t>
      </w:r>
      <w:hyperlink r:id="rId13" w:history="1">
        <w:r w:rsidRPr="00CE7151">
          <w:rPr>
            <w:rFonts w:ascii="Corbel" w:hAnsi="Corbel" w:cs="Calibri"/>
            <w:color w:val="0000FF" w:themeColor="hyperlink"/>
            <w:u w:val="single"/>
          </w:rPr>
          <w:t>https://www.coe.int/en/web/help/home</w:t>
        </w:r>
      </w:hyperlink>
      <w:r w:rsidRPr="00CE7151">
        <w:rPr>
          <w:rFonts w:ascii="Corbel" w:hAnsi="Corbel" w:cs="Calibri"/>
          <w:color w:val="000000"/>
          <w:sz w:val="24"/>
          <w:szCs w:val="24"/>
        </w:rPr>
        <w:t xml:space="preserve"> </w:t>
      </w:r>
    </w:p>
    <w:p w:rsidR="005034EB" w:rsidRPr="00CE7151" w:rsidRDefault="005034EB" w:rsidP="00DE7B5D">
      <w:pPr>
        <w:numPr>
          <w:ilvl w:val="0"/>
          <w:numId w:val="2"/>
        </w:numPr>
        <w:autoSpaceDE w:val="0"/>
        <w:autoSpaceDN w:val="0"/>
        <w:adjustRightInd w:val="0"/>
        <w:spacing w:after="0" w:line="240" w:lineRule="auto"/>
        <w:ind w:left="284" w:hanging="284"/>
        <w:jc w:val="both"/>
        <w:rPr>
          <w:rFonts w:ascii="Corbel" w:hAnsi="Corbel" w:cs="Calibri"/>
        </w:rPr>
      </w:pPr>
      <w:r w:rsidRPr="00CE7151">
        <w:rPr>
          <w:rFonts w:ascii="Corbel" w:hAnsi="Corbel" w:cs="Calibri"/>
        </w:rPr>
        <w:t xml:space="preserve">Create an account on the </w:t>
      </w:r>
      <w:hyperlink r:id="rId14" w:history="1">
        <w:r w:rsidRPr="00CE7151">
          <w:rPr>
            <w:rFonts w:ascii="Corbel" w:hAnsi="Corbel" w:cs="Calibri"/>
            <w:color w:val="0000FF" w:themeColor="hyperlink"/>
            <w:u w:val="single"/>
          </w:rPr>
          <w:t>HELP e-learning platform</w:t>
        </w:r>
      </w:hyperlink>
    </w:p>
    <w:p w:rsidR="00543B10" w:rsidRPr="00CE7151" w:rsidRDefault="00543B10" w:rsidP="005034EB">
      <w:pPr>
        <w:autoSpaceDE w:val="0"/>
        <w:autoSpaceDN w:val="0"/>
        <w:adjustRightInd w:val="0"/>
        <w:spacing w:after="0" w:line="240" w:lineRule="auto"/>
        <w:jc w:val="both"/>
        <w:rPr>
          <w:rFonts w:ascii="Corbel" w:hAnsi="Corbel" w:cs="Calibri"/>
          <w:b/>
          <w:color w:val="1498BF"/>
        </w:rPr>
      </w:pPr>
    </w:p>
    <w:p w:rsidR="008D11AA" w:rsidRDefault="008D11AA" w:rsidP="00A94B42">
      <w:pPr>
        <w:autoSpaceDE w:val="0"/>
        <w:autoSpaceDN w:val="0"/>
        <w:adjustRightInd w:val="0"/>
        <w:spacing w:after="120" w:line="240" w:lineRule="auto"/>
        <w:jc w:val="both"/>
        <w:rPr>
          <w:rFonts w:ascii="Corbel" w:hAnsi="Corbel" w:cs="Calibri"/>
          <w:b/>
          <w:color w:val="1498BF"/>
        </w:rPr>
      </w:pPr>
      <w:r>
        <w:rPr>
          <w:rFonts w:ascii="Corbel" w:hAnsi="Corbel" w:cs="Calibri"/>
          <w:b/>
          <w:color w:val="1498BF"/>
        </w:rPr>
        <w:t>Participation and registration</w:t>
      </w:r>
    </w:p>
    <w:p w:rsidR="00A6006F" w:rsidRPr="00A6006F" w:rsidRDefault="00A6006F" w:rsidP="00A6006F">
      <w:pPr>
        <w:autoSpaceDE w:val="0"/>
        <w:autoSpaceDN w:val="0"/>
        <w:adjustRightInd w:val="0"/>
        <w:spacing w:after="120" w:line="240" w:lineRule="auto"/>
        <w:jc w:val="both"/>
        <w:rPr>
          <w:rFonts w:ascii="Corbel" w:hAnsi="Corbel" w:cs="Calibri"/>
        </w:rPr>
      </w:pPr>
      <w:r>
        <w:rPr>
          <w:rFonts w:ascii="Corbel" w:hAnsi="Corbel" w:cs="Calibri"/>
        </w:rPr>
        <w:t>Participation is open to judges</w:t>
      </w:r>
      <w:r w:rsidR="00FE6F95">
        <w:rPr>
          <w:rFonts w:ascii="Corbel" w:hAnsi="Corbel" w:cs="Calibri"/>
        </w:rPr>
        <w:t xml:space="preserve"> and </w:t>
      </w:r>
      <w:r>
        <w:rPr>
          <w:rFonts w:ascii="Corbel" w:hAnsi="Corbel" w:cs="Calibri"/>
        </w:rPr>
        <w:t xml:space="preserve">prosecutors from EU MS. </w:t>
      </w:r>
      <w:r w:rsidR="008D11AA">
        <w:rPr>
          <w:rFonts w:ascii="Corbel" w:hAnsi="Corbel" w:cs="Calibri"/>
        </w:rPr>
        <w:t>Interested participants should:</w:t>
      </w:r>
    </w:p>
    <w:p w:rsidR="00D8582A" w:rsidRPr="00C50495" w:rsidRDefault="00FB61CC" w:rsidP="008D11AA">
      <w:pPr>
        <w:pStyle w:val="ListParagraph"/>
        <w:numPr>
          <w:ilvl w:val="0"/>
          <w:numId w:val="4"/>
        </w:numPr>
        <w:autoSpaceDE w:val="0"/>
        <w:autoSpaceDN w:val="0"/>
        <w:adjustRightInd w:val="0"/>
        <w:spacing w:after="120" w:line="240" w:lineRule="auto"/>
        <w:jc w:val="both"/>
        <w:rPr>
          <w:rFonts w:ascii="Corbel" w:hAnsi="Corbel" w:cs="Calibri"/>
        </w:rPr>
      </w:pPr>
      <w:r w:rsidRPr="00C50495">
        <w:rPr>
          <w:rFonts w:ascii="Corbel" w:hAnsi="Corbel" w:cs="Calibri"/>
        </w:rPr>
        <w:t>b</w:t>
      </w:r>
      <w:r w:rsidR="008D11AA" w:rsidRPr="00C50495">
        <w:rPr>
          <w:rFonts w:ascii="Corbel" w:hAnsi="Corbel" w:cs="Calibri"/>
        </w:rPr>
        <w:t xml:space="preserve">e available to </w:t>
      </w:r>
      <w:r w:rsidR="008D11AA" w:rsidRPr="00C50495">
        <w:rPr>
          <w:rFonts w:ascii="Corbel" w:hAnsi="Corbel" w:cs="Calibri"/>
          <w:b/>
        </w:rPr>
        <w:t xml:space="preserve">attend the launch event on </w:t>
      </w:r>
      <w:r w:rsidR="001A214D">
        <w:rPr>
          <w:rFonts w:ascii="Corbel" w:hAnsi="Corbel" w:cs="Calibri"/>
          <w:b/>
        </w:rPr>
        <w:t>18-19</w:t>
      </w:r>
      <w:r w:rsidR="005A5FD8" w:rsidRPr="00C50495">
        <w:rPr>
          <w:rFonts w:ascii="Corbel" w:hAnsi="Corbel" w:cs="Calibri"/>
          <w:b/>
        </w:rPr>
        <w:t xml:space="preserve"> June</w:t>
      </w:r>
      <w:r w:rsidRPr="00C50495">
        <w:rPr>
          <w:rFonts w:ascii="Corbel" w:hAnsi="Corbel" w:cs="Calibri"/>
          <w:b/>
        </w:rPr>
        <w:t xml:space="preserve"> 2019</w:t>
      </w:r>
      <w:r w:rsidR="008D11AA" w:rsidRPr="00C50495">
        <w:rPr>
          <w:rFonts w:ascii="Corbel" w:hAnsi="Corbel" w:cs="Calibri"/>
        </w:rPr>
        <w:t xml:space="preserve"> (the participation is </w:t>
      </w:r>
      <w:r w:rsidR="00727264" w:rsidRPr="00C50495">
        <w:rPr>
          <w:rFonts w:ascii="Corbel" w:hAnsi="Corbel" w:cs="Calibri"/>
        </w:rPr>
        <w:t>taken in charge</w:t>
      </w:r>
      <w:r w:rsidR="008D11AA" w:rsidRPr="00C50495">
        <w:rPr>
          <w:rFonts w:ascii="Corbel" w:hAnsi="Corbel" w:cs="Calibri"/>
        </w:rPr>
        <w:t xml:space="preserve"> by the project</w:t>
      </w:r>
      <w:r w:rsidR="000E62ED" w:rsidRPr="00C50495">
        <w:rPr>
          <w:rFonts w:ascii="Corbel" w:hAnsi="Corbel" w:cs="Calibri"/>
        </w:rPr>
        <w:t xml:space="preserve">; </w:t>
      </w:r>
    </w:p>
    <w:p w:rsidR="00D8582A" w:rsidRPr="00C50495" w:rsidRDefault="000E62ED" w:rsidP="00D8582A">
      <w:pPr>
        <w:pStyle w:val="ListParagraph"/>
        <w:numPr>
          <w:ilvl w:val="0"/>
          <w:numId w:val="4"/>
        </w:numPr>
        <w:autoSpaceDE w:val="0"/>
        <w:autoSpaceDN w:val="0"/>
        <w:adjustRightInd w:val="0"/>
        <w:spacing w:after="120" w:line="240" w:lineRule="auto"/>
        <w:jc w:val="both"/>
        <w:rPr>
          <w:rFonts w:ascii="Corbel" w:hAnsi="Corbel" w:cs="Calibri"/>
        </w:rPr>
      </w:pPr>
      <w:r w:rsidRPr="00C50495">
        <w:rPr>
          <w:rFonts w:ascii="Corbel" w:hAnsi="Corbel" w:cs="Calibri"/>
        </w:rPr>
        <w:t xml:space="preserve">participants will have to purchase their travel tickets within the limit of </w:t>
      </w:r>
      <w:r w:rsidR="00D8582A" w:rsidRPr="00C50495">
        <w:rPr>
          <w:rFonts w:ascii="Corbel" w:hAnsi="Corbel" w:cs="Calibri"/>
        </w:rPr>
        <w:t xml:space="preserve">340 </w:t>
      </w:r>
      <w:r w:rsidRPr="00C50495">
        <w:rPr>
          <w:rFonts w:ascii="Corbel" w:hAnsi="Corbel" w:cs="Calibri"/>
        </w:rPr>
        <w:t>EUR/travel</w:t>
      </w:r>
      <w:r w:rsidR="00D8582A" w:rsidRPr="00C50495">
        <w:rPr>
          <w:rFonts w:ascii="Corbel" w:hAnsi="Corbel" w:cs="Calibri"/>
        </w:rPr>
        <w:t>, which will be later reimbursed by the organizers upon receipt of original documentation (boarding passes, filled in reimbursement form, etc.);</w:t>
      </w:r>
    </w:p>
    <w:p w:rsidR="00D8582A" w:rsidRPr="00C50495" w:rsidRDefault="00D8582A" w:rsidP="00D8582A">
      <w:pPr>
        <w:pStyle w:val="ListParagraph"/>
        <w:numPr>
          <w:ilvl w:val="0"/>
          <w:numId w:val="4"/>
        </w:numPr>
        <w:autoSpaceDE w:val="0"/>
        <w:autoSpaceDN w:val="0"/>
        <w:adjustRightInd w:val="0"/>
        <w:spacing w:after="120" w:line="240" w:lineRule="auto"/>
        <w:jc w:val="both"/>
        <w:rPr>
          <w:rFonts w:ascii="Corbel" w:hAnsi="Corbel" w:cs="Calibri"/>
        </w:rPr>
      </w:pPr>
      <w:r w:rsidRPr="00C50495">
        <w:rPr>
          <w:rFonts w:ascii="Corbel" w:hAnsi="Corbel" w:cs="Calibri"/>
        </w:rPr>
        <w:t xml:space="preserve">accommodation (for 2 nights, from </w:t>
      </w:r>
      <w:r w:rsidR="001A214D">
        <w:rPr>
          <w:rFonts w:ascii="Corbel" w:hAnsi="Corbel" w:cs="Calibri"/>
        </w:rPr>
        <w:t>17</w:t>
      </w:r>
      <w:r w:rsidRPr="00C50495">
        <w:rPr>
          <w:rFonts w:ascii="Corbel" w:hAnsi="Corbel" w:cs="Calibri"/>
        </w:rPr>
        <w:t xml:space="preserve"> </w:t>
      </w:r>
      <w:r w:rsidR="001A214D">
        <w:rPr>
          <w:rFonts w:ascii="Corbel" w:hAnsi="Corbel" w:cs="Calibri"/>
        </w:rPr>
        <w:t>to 19</w:t>
      </w:r>
      <w:r w:rsidR="005A5FD8" w:rsidRPr="00C50495">
        <w:rPr>
          <w:rFonts w:ascii="Corbel" w:hAnsi="Corbel" w:cs="Calibri"/>
        </w:rPr>
        <w:t xml:space="preserve"> June</w:t>
      </w:r>
      <w:r w:rsidRPr="00C50495">
        <w:rPr>
          <w:rFonts w:ascii="Corbel" w:hAnsi="Corbel" w:cs="Calibri"/>
        </w:rPr>
        <w:t xml:space="preserve"> with breakfast and dinner included) and meals (lunch and coffee breaks during the two days seminar) will be provided by the organizers;</w:t>
      </w:r>
    </w:p>
    <w:p w:rsidR="008D11AA" w:rsidRPr="005A5FD8" w:rsidRDefault="00FB61CC" w:rsidP="00D8582A">
      <w:pPr>
        <w:pStyle w:val="ListParagraph"/>
        <w:numPr>
          <w:ilvl w:val="0"/>
          <w:numId w:val="4"/>
        </w:numPr>
        <w:autoSpaceDE w:val="0"/>
        <w:autoSpaceDN w:val="0"/>
        <w:adjustRightInd w:val="0"/>
        <w:spacing w:after="120" w:line="240" w:lineRule="auto"/>
        <w:jc w:val="both"/>
        <w:rPr>
          <w:rFonts w:ascii="Corbel" w:hAnsi="Corbel" w:cs="Calibri"/>
        </w:rPr>
      </w:pPr>
      <w:r w:rsidRPr="005A5FD8">
        <w:rPr>
          <w:rFonts w:ascii="Corbel" w:hAnsi="Corbel" w:cs="Calibri"/>
        </w:rPr>
        <w:t>u</w:t>
      </w:r>
      <w:r w:rsidR="008D11AA" w:rsidRPr="005A5FD8">
        <w:rPr>
          <w:rFonts w:ascii="Corbel" w:hAnsi="Corbel" w:cs="Calibri"/>
        </w:rPr>
        <w:t xml:space="preserve">ndertake to </w:t>
      </w:r>
      <w:r w:rsidR="008D11AA" w:rsidRPr="005A5FD8">
        <w:rPr>
          <w:rFonts w:ascii="Corbel" w:hAnsi="Corbel" w:cs="Calibri"/>
          <w:b/>
        </w:rPr>
        <w:t>follow and complete</w:t>
      </w:r>
      <w:r w:rsidR="009C2637" w:rsidRPr="005A5FD8">
        <w:rPr>
          <w:rFonts w:ascii="Corbel" w:hAnsi="Corbel" w:cs="Calibri"/>
          <w:b/>
        </w:rPr>
        <w:t xml:space="preserve"> the online tutored course</w:t>
      </w:r>
      <w:r w:rsidR="009738EA" w:rsidRPr="005A5FD8">
        <w:rPr>
          <w:rFonts w:ascii="Corbel" w:hAnsi="Corbel" w:cs="Calibri"/>
        </w:rPr>
        <w:t xml:space="preserve"> in the following </w:t>
      </w:r>
      <w:r w:rsidR="009C2637" w:rsidRPr="005A5FD8">
        <w:rPr>
          <w:rFonts w:ascii="Corbel" w:hAnsi="Corbel" w:cs="Calibri"/>
        </w:rPr>
        <w:t>3 months (approx. 1-2 hours of work per week</w:t>
      </w:r>
      <w:r w:rsidR="001A214D">
        <w:rPr>
          <w:rFonts w:ascii="Corbel" w:hAnsi="Corbel" w:cs="Calibri"/>
        </w:rPr>
        <w:t xml:space="preserve"> according to the planning set by the national tutors</w:t>
      </w:r>
      <w:r w:rsidR="009C2637" w:rsidRPr="005A5FD8">
        <w:rPr>
          <w:rFonts w:ascii="Corbel" w:hAnsi="Corbel" w:cs="Calibri"/>
        </w:rPr>
        <w:t>)</w:t>
      </w:r>
    </w:p>
    <w:p w:rsidR="000E62ED" w:rsidRPr="005A5FD8" w:rsidRDefault="009C2637" w:rsidP="000E62ED">
      <w:pPr>
        <w:pStyle w:val="ListParagraph"/>
        <w:numPr>
          <w:ilvl w:val="0"/>
          <w:numId w:val="4"/>
        </w:numPr>
        <w:autoSpaceDE w:val="0"/>
        <w:autoSpaceDN w:val="0"/>
        <w:adjustRightInd w:val="0"/>
        <w:spacing w:after="120" w:line="240" w:lineRule="auto"/>
        <w:jc w:val="both"/>
        <w:rPr>
          <w:rFonts w:ascii="Corbel" w:hAnsi="Corbel" w:cs="Calibri"/>
          <w:b/>
        </w:rPr>
      </w:pPr>
      <w:r w:rsidRPr="005A5FD8">
        <w:rPr>
          <w:rFonts w:ascii="Corbel" w:hAnsi="Corbel" w:cs="Calibri"/>
        </w:rPr>
        <w:t>have knowledge of</w:t>
      </w:r>
      <w:r w:rsidRPr="005A5FD8">
        <w:rPr>
          <w:rFonts w:ascii="Corbel" w:hAnsi="Corbel" w:cs="Calibri"/>
          <w:b/>
        </w:rPr>
        <w:t xml:space="preserve"> Engli</w:t>
      </w:r>
      <w:r w:rsidR="00FB61CC" w:rsidRPr="005A5FD8">
        <w:rPr>
          <w:rFonts w:ascii="Corbel" w:hAnsi="Corbel" w:cs="Calibri"/>
          <w:b/>
        </w:rPr>
        <w:t>sh</w:t>
      </w:r>
      <w:r w:rsidR="00616B66" w:rsidRPr="005A5FD8">
        <w:rPr>
          <w:rFonts w:ascii="Corbel" w:hAnsi="Corbel" w:cs="Calibri"/>
          <w:b/>
        </w:rPr>
        <w:t xml:space="preserve"> </w:t>
      </w:r>
      <w:r w:rsidR="00616B66" w:rsidRPr="005A5FD8">
        <w:rPr>
          <w:rFonts w:ascii="Corbel" w:hAnsi="Corbel" w:cs="Calibri"/>
        </w:rPr>
        <w:t>(for p</w:t>
      </w:r>
      <w:r w:rsidR="001A214D">
        <w:rPr>
          <w:rFonts w:ascii="Corbel" w:hAnsi="Corbel" w:cs="Calibri"/>
        </w:rPr>
        <w:t xml:space="preserve">articipation to the seminar; </w:t>
      </w:r>
      <w:r w:rsidR="00616B66" w:rsidRPr="005A5FD8">
        <w:rPr>
          <w:rFonts w:ascii="Corbel" w:hAnsi="Corbel" w:cs="Calibri"/>
        </w:rPr>
        <w:t>the online course will further be implemented in the national languages)</w:t>
      </w:r>
    </w:p>
    <w:p w:rsidR="00FB61CC" w:rsidRPr="00C50495" w:rsidRDefault="000E62ED" w:rsidP="000E62ED">
      <w:pPr>
        <w:pStyle w:val="ListParagraph"/>
        <w:numPr>
          <w:ilvl w:val="0"/>
          <w:numId w:val="4"/>
        </w:numPr>
        <w:autoSpaceDE w:val="0"/>
        <w:autoSpaceDN w:val="0"/>
        <w:adjustRightInd w:val="0"/>
        <w:spacing w:after="120" w:line="240" w:lineRule="auto"/>
        <w:jc w:val="both"/>
        <w:rPr>
          <w:rFonts w:ascii="Corbel" w:hAnsi="Corbel" w:cs="Calibri"/>
          <w:b/>
        </w:rPr>
      </w:pPr>
      <w:proofErr w:type="gramStart"/>
      <w:r w:rsidRPr="00C50495">
        <w:rPr>
          <w:rFonts w:ascii="Corbel" w:hAnsi="Corbel" w:cs="Calibri"/>
        </w:rPr>
        <w:t>d</w:t>
      </w:r>
      <w:r w:rsidR="008A6211" w:rsidRPr="00C50495">
        <w:rPr>
          <w:rFonts w:ascii="Corbel" w:hAnsi="Corbel" w:cs="Calibri"/>
        </w:rPr>
        <w:t>eadline</w:t>
      </w:r>
      <w:proofErr w:type="gramEnd"/>
      <w:r w:rsidR="00616B66" w:rsidRPr="00C50495">
        <w:rPr>
          <w:rFonts w:ascii="Corbel" w:hAnsi="Corbel" w:cs="Calibri"/>
        </w:rPr>
        <w:t xml:space="preserve"> for registration</w:t>
      </w:r>
      <w:r w:rsidR="008A6211" w:rsidRPr="00C50495">
        <w:rPr>
          <w:rFonts w:ascii="Corbel" w:hAnsi="Corbel" w:cs="Calibri"/>
        </w:rPr>
        <w:t>:</w:t>
      </w:r>
      <w:r w:rsidR="008918AB" w:rsidRPr="00C50495">
        <w:rPr>
          <w:rFonts w:ascii="Corbel" w:hAnsi="Corbel" w:cs="Calibri"/>
          <w:b/>
        </w:rPr>
        <w:t xml:space="preserve"> </w:t>
      </w:r>
      <w:r w:rsidR="005A5FD8" w:rsidRPr="00C50495">
        <w:rPr>
          <w:rFonts w:ascii="Corbel" w:hAnsi="Corbel" w:cs="Calibri"/>
          <w:b/>
        </w:rPr>
        <w:t>3 May</w:t>
      </w:r>
      <w:r w:rsidR="008A6211" w:rsidRPr="00C50495">
        <w:rPr>
          <w:rFonts w:ascii="Corbel" w:hAnsi="Corbel" w:cs="Calibri"/>
          <w:b/>
        </w:rPr>
        <w:t xml:space="preserve"> 2019</w:t>
      </w:r>
      <w:r w:rsidRPr="00C50495">
        <w:rPr>
          <w:rFonts w:ascii="Corbel" w:hAnsi="Corbel" w:cs="Calibri"/>
          <w:b/>
        </w:rPr>
        <w:t>.</w:t>
      </w:r>
    </w:p>
    <w:p w:rsidR="005034EB" w:rsidRPr="005B06B2" w:rsidRDefault="005034EB" w:rsidP="00A94B42">
      <w:pPr>
        <w:autoSpaceDE w:val="0"/>
        <w:autoSpaceDN w:val="0"/>
        <w:adjustRightInd w:val="0"/>
        <w:spacing w:after="120" w:line="240" w:lineRule="auto"/>
        <w:jc w:val="both"/>
        <w:rPr>
          <w:rFonts w:ascii="Corbel" w:hAnsi="Corbel" w:cs="Calibri"/>
          <w:b/>
          <w:bCs/>
          <w:color w:val="1498BF"/>
        </w:rPr>
      </w:pPr>
      <w:r w:rsidRPr="00CE7151">
        <w:rPr>
          <w:rFonts w:ascii="Corbel" w:hAnsi="Corbel" w:cs="Calibri"/>
          <w:b/>
          <w:color w:val="1498BF"/>
        </w:rPr>
        <w:t>F</w:t>
      </w:r>
      <w:r w:rsidRPr="00CE7151">
        <w:rPr>
          <w:rFonts w:ascii="Corbel" w:hAnsi="Corbel" w:cs="Calibri"/>
          <w:b/>
          <w:bCs/>
          <w:color w:val="1498BF"/>
        </w:rPr>
        <w:t xml:space="preserve">urther information </w:t>
      </w:r>
    </w:p>
    <w:p w:rsidR="005034EB" w:rsidRDefault="005034EB" w:rsidP="005034EB">
      <w:pPr>
        <w:autoSpaceDE w:val="0"/>
        <w:autoSpaceDN w:val="0"/>
        <w:adjustRightInd w:val="0"/>
        <w:spacing w:after="0" w:line="240" w:lineRule="auto"/>
        <w:jc w:val="both"/>
        <w:rPr>
          <w:rFonts w:ascii="Corbel" w:hAnsi="Corbel" w:cs="Calibri"/>
        </w:rPr>
      </w:pPr>
      <w:r w:rsidRPr="00CE7151">
        <w:rPr>
          <w:rFonts w:ascii="Corbel" w:hAnsi="Corbel" w:cs="Calibri"/>
        </w:rPr>
        <w:t xml:space="preserve">For additional information, please contact </w:t>
      </w:r>
      <w:r w:rsidR="008918AB">
        <w:rPr>
          <w:rFonts w:ascii="Corbel" w:hAnsi="Corbel" w:cs="Calibri"/>
        </w:rPr>
        <w:t>Ruxandra Stan (</w:t>
      </w:r>
      <w:hyperlink r:id="rId15" w:history="1">
        <w:r w:rsidR="005A5FD8" w:rsidRPr="00EB410F">
          <w:rPr>
            <w:rStyle w:val="Hyperlink"/>
            <w:rFonts w:ascii="Corbel" w:hAnsi="Corbel" w:cs="Calibri"/>
          </w:rPr>
          <w:t>ruxandra.stan@inm-lex.ro</w:t>
        </w:r>
      </w:hyperlink>
      <w:r w:rsidR="005A5FD8">
        <w:rPr>
          <w:rFonts w:ascii="Corbel" w:hAnsi="Corbel" w:cs="Calibri"/>
        </w:rPr>
        <w:t xml:space="preserve">) from </w:t>
      </w:r>
      <w:r w:rsidR="008918AB">
        <w:rPr>
          <w:rFonts w:ascii="Corbel" w:hAnsi="Corbel" w:cs="Calibri"/>
        </w:rPr>
        <w:t>NIM Bucharest</w:t>
      </w:r>
      <w:r w:rsidR="00616B66">
        <w:rPr>
          <w:rFonts w:ascii="Corbel" w:hAnsi="Corbel" w:cs="Calibri"/>
        </w:rPr>
        <w:t xml:space="preserve"> or </w:t>
      </w:r>
      <w:r w:rsidRPr="00CE7151">
        <w:rPr>
          <w:rFonts w:ascii="Corbel" w:hAnsi="Corbel" w:cs="Calibri"/>
        </w:rPr>
        <w:t xml:space="preserve">Ana-Maria </w:t>
      </w:r>
      <w:proofErr w:type="spellStart"/>
      <w:r w:rsidRPr="00CE7151">
        <w:rPr>
          <w:rFonts w:ascii="Corbel" w:hAnsi="Corbel" w:cs="Calibri"/>
        </w:rPr>
        <w:t>Telbis</w:t>
      </w:r>
      <w:proofErr w:type="spellEnd"/>
      <w:r w:rsidRPr="00CE7151">
        <w:rPr>
          <w:rFonts w:ascii="Corbel" w:hAnsi="Corbel" w:cs="Calibri"/>
        </w:rPr>
        <w:t xml:space="preserve"> (</w:t>
      </w:r>
      <w:hyperlink r:id="rId16" w:history="1">
        <w:r w:rsidR="008A6211" w:rsidRPr="007B0DC9">
          <w:rPr>
            <w:rStyle w:val="Hyperlink"/>
            <w:rFonts w:ascii="Corbel" w:hAnsi="Corbel" w:cs="Calibri"/>
          </w:rPr>
          <w:t>ana-maria.telbis@coe.int</w:t>
        </w:r>
      </w:hyperlink>
      <w:r w:rsidR="00616B66">
        <w:rPr>
          <w:rFonts w:ascii="Corbel" w:hAnsi="Corbel" w:cs="Calibri"/>
        </w:rPr>
        <w:t>) /</w:t>
      </w:r>
      <w:r w:rsidR="00D31EEB" w:rsidRPr="00CE7151">
        <w:rPr>
          <w:rFonts w:ascii="Corbel" w:hAnsi="Corbel" w:cs="Calibri"/>
        </w:rPr>
        <w:t xml:space="preserve"> Konstantinos </w:t>
      </w:r>
      <w:proofErr w:type="spellStart"/>
      <w:r w:rsidR="00D31EEB" w:rsidRPr="00CE7151">
        <w:rPr>
          <w:rFonts w:ascii="Corbel" w:hAnsi="Corbel" w:cs="Calibri"/>
        </w:rPr>
        <w:t>Vratsidas</w:t>
      </w:r>
      <w:proofErr w:type="spellEnd"/>
      <w:r w:rsidR="00D31EEB" w:rsidRPr="00CE7151">
        <w:rPr>
          <w:rFonts w:ascii="Corbel" w:hAnsi="Corbel" w:cs="Calibri"/>
        </w:rPr>
        <w:t xml:space="preserve"> (</w:t>
      </w:r>
      <w:hyperlink r:id="rId17" w:history="1">
        <w:r w:rsidR="00D31EEB" w:rsidRPr="00CE7151">
          <w:rPr>
            <w:rStyle w:val="Hyperlink"/>
            <w:rFonts w:ascii="Corbel" w:hAnsi="Corbel" w:cs="Calibri"/>
          </w:rPr>
          <w:t>Konstantinos.VRATSIDAS@coe.int</w:t>
        </w:r>
      </w:hyperlink>
      <w:r w:rsidR="00D31EEB" w:rsidRPr="00CE7151">
        <w:rPr>
          <w:rFonts w:ascii="Corbel" w:hAnsi="Corbel" w:cs="Calibri"/>
        </w:rPr>
        <w:t xml:space="preserve">) at </w:t>
      </w:r>
      <w:r w:rsidR="00616B66">
        <w:rPr>
          <w:rFonts w:ascii="Corbel" w:hAnsi="Corbel" w:cs="Calibri"/>
        </w:rPr>
        <w:t>the HELP Secretariat.</w:t>
      </w:r>
    </w:p>
    <w:p w:rsidR="00C620C0" w:rsidRDefault="00C620C0" w:rsidP="005034EB">
      <w:pPr>
        <w:autoSpaceDE w:val="0"/>
        <w:autoSpaceDN w:val="0"/>
        <w:adjustRightInd w:val="0"/>
        <w:spacing w:after="0" w:line="240" w:lineRule="auto"/>
        <w:jc w:val="both"/>
        <w:rPr>
          <w:rFonts w:ascii="Corbel" w:hAnsi="Corbel" w:cs="Calibri"/>
        </w:rPr>
      </w:pPr>
    </w:p>
    <w:p w:rsidR="000916CB" w:rsidRDefault="000916CB">
      <w:pPr>
        <w:rPr>
          <w:rFonts w:ascii="Corbel" w:hAnsi="Corbel" w:cs="Calibri"/>
          <w:b/>
          <w:bCs/>
          <w:color w:val="1498BF"/>
        </w:rPr>
      </w:pPr>
      <w:r>
        <w:rPr>
          <w:rFonts w:ascii="Corbel" w:hAnsi="Corbel" w:cs="Calibri"/>
          <w:b/>
          <w:bCs/>
          <w:color w:val="1498BF"/>
        </w:rPr>
        <w:br w:type="page"/>
      </w:r>
    </w:p>
    <w:p w:rsidR="00C358BD" w:rsidRDefault="00C620C0" w:rsidP="00C358BD">
      <w:pPr>
        <w:rPr>
          <w:rFonts w:ascii="Corbel" w:hAnsi="Corbel" w:cs="Calibri"/>
          <w:bCs/>
          <w:sz w:val="16"/>
          <w:szCs w:val="16"/>
        </w:rPr>
      </w:pPr>
      <w:r>
        <w:rPr>
          <w:rFonts w:ascii="Corbel" w:hAnsi="Corbel" w:cs="Calibri"/>
          <w:b/>
          <w:bCs/>
          <w:color w:val="1498BF"/>
        </w:rPr>
        <w:lastRenderedPageBreak/>
        <w:t>Agenda</w:t>
      </w:r>
    </w:p>
    <w:p w:rsidR="00C358BD" w:rsidRPr="00C358BD" w:rsidRDefault="00C358BD" w:rsidP="00C358BD">
      <w:pPr>
        <w:rPr>
          <w:rFonts w:ascii="Corbel" w:hAnsi="Corbel" w:cs="Calibri"/>
          <w:bCs/>
          <w:sz w:val="16"/>
          <w:szCs w:val="16"/>
        </w:rPr>
      </w:pPr>
      <w:r>
        <w:rPr>
          <w:rFonts w:ascii="Corbel" w:hAnsi="Corbel" w:cs="Calibri"/>
          <w:bCs/>
          <w:sz w:val="16"/>
          <w:szCs w:val="16"/>
        </w:rPr>
        <w:t>*The agenda may be subject to change as the titles of sessions and the speakers are subject to confirmation</w:t>
      </w:r>
    </w:p>
    <w:p w:rsidR="00C620C0" w:rsidRDefault="003C0E5B" w:rsidP="005034EB">
      <w:pPr>
        <w:autoSpaceDE w:val="0"/>
        <w:autoSpaceDN w:val="0"/>
        <w:adjustRightInd w:val="0"/>
        <w:spacing w:after="0" w:line="240" w:lineRule="auto"/>
        <w:jc w:val="both"/>
        <w:rPr>
          <w:rFonts w:ascii="Corbel" w:hAnsi="Corbel" w:cs="Calibri"/>
          <w:bCs/>
        </w:rPr>
      </w:pPr>
      <w:r>
        <w:rPr>
          <w:rFonts w:ascii="Corbel" w:hAnsi="Corbel" w:cs="Calibri"/>
          <w:bCs/>
        </w:rPr>
        <w:t xml:space="preserve">Day 1 – </w:t>
      </w:r>
      <w:r w:rsidR="001A214D">
        <w:rPr>
          <w:rFonts w:ascii="Corbel" w:hAnsi="Corbel" w:cs="Calibri"/>
          <w:bCs/>
        </w:rPr>
        <w:t>18</w:t>
      </w:r>
      <w:r w:rsidR="00FE6F95">
        <w:rPr>
          <w:rFonts w:ascii="Corbel" w:hAnsi="Corbel" w:cs="Calibri"/>
          <w:bCs/>
        </w:rPr>
        <w:t xml:space="preserve"> June</w:t>
      </w:r>
      <w:r>
        <w:rPr>
          <w:rFonts w:ascii="Corbel" w:hAnsi="Corbel" w:cs="Calibri"/>
          <w:bCs/>
        </w:rPr>
        <w:t xml:space="preserve"> 2019</w:t>
      </w:r>
    </w:p>
    <w:p w:rsidR="008465D7" w:rsidRDefault="008465D7" w:rsidP="005034EB">
      <w:pPr>
        <w:autoSpaceDE w:val="0"/>
        <w:autoSpaceDN w:val="0"/>
        <w:adjustRightInd w:val="0"/>
        <w:spacing w:after="0" w:line="240" w:lineRule="auto"/>
        <w:jc w:val="both"/>
        <w:rPr>
          <w:rFonts w:ascii="Corbel" w:hAnsi="Corbel" w:cs="Calibri"/>
          <w:bCs/>
        </w:rPr>
      </w:pPr>
    </w:p>
    <w:tbl>
      <w:tblPr>
        <w:tblStyle w:val="TableGrid"/>
        <w:tblW w:w="0" w:type="auto"/>
        <w:tblInd w:w="0" w:type="dxa"/>
        <w:tblLook w:val="04A0" w:firstRow="1" w:lastRow="0" w:firstColumn="1" w:lastColumn="0" w:noHBand="0" w:noVBand="1"/>
      </w:tblPr>
      <w:tblGrid>
        <w:gridCol w:w="1809"/>
        <w:gridCol w:w="8330"/>
      </w:tblGrid>
      <w:tr w:rsidR="003C0E5B" w:rsidRPr="000916CB" w:rsidTr="003C0E5B">
        <w:tc>
          <w:tcPr>
            <w:tcW w:w="1809" w:type="dxa"/>
          </w:tcPr>
          <w:p w:rsidR="003C0E5B" w:rsidRPr="000916CB" w:rsidRDefault="003C0E5B" w:rsidP="00CE2F78">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9.15 – 9.30</w:t>
            </w:r>
          </w:p>
        </w:tc>
        <w:tc>
          <w:tcPr>
            <w:tcW w:w="8330" w:type="dxa"/>
          </w:tcPr>
          <w:p w:rsidR="003C0E5B" w:rsidRPr="000916CB" w:rsidRDefault="003C0E5B" w:rsidP="00CE2F78">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Arrival of participants and registration</w:t>
            </w:r>
          </w:p>
        </w:tc>
      </w:tr>
      <w:tr w:rsidR="003C0E5B" w:rsidRPr="000916CB" w:rsidTr="003C0E5B">
        <w:tc>
          <w:tcPr>
            <w:tcW w:w="1809" w:type="dxa"/>
          </w:tcPr>
          <w:p w:rsidR="003C0E5B" w:rsidRPr="000916CB" w:rsidRDefault="002B0A8C" w:rsidP="00CE2F78">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9.30 – 10.10</w:t>
            </w:r>
          </w:p>
        </w:tc>
        <w:tc>
          <w:tcPr>
            <w:tcW w:w="8330" w:type="dxa"/>
          </w:tcPr>
          <w:p w:rsidR="003C0E5B" w:rsidRPr="000916CB" w:rsidRDefault="003C0E5B" w:rsidP="00CE2F78">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Welcome address</w:t>
            </w:r>
            <w:r w:rsidR="00616B66">
              <w:rPr>
                <w:rFonts w:ascii="Corbel" w:hAnsi="Corbel" w:cs="Calibri"/>
                <w:bCs/>
                <w:sz w:val="20"/>
                <w:szCs w:val="20"/>
              </w:rPr>
              <w:t xml:space="preserve"> by representatives from:</w:t>
            </w:r>
          </w:p>
          <w:p w:rsidR="00616B66" w:rsidRDefault="009951BB" w:rsidP="0061095F">
            <w:pPr>
              <w:autoSpaceDE w:val="0"/>
              <w:autoSpaceDN w:val="0"/>
              <w:adjustRightInd w:val="0"/>
              <w:spacing w:line="276" w:lineRule="auto"/>
              <w:jc w:val="both"/>
              <w:rPr>
                <w:rFonts w:ascii="Corbel" w:hAnsi="Corbel" w:cs="Calibri"/>
                <w:bCs/>
                <w:i/>
                <w:sz w:val="20"/>
                <w:szCs w:val="20"/>
              </w:rPr>
            </w:pPr>
            <w:r>
              <w:rPr>
                <w:rFonts w:ascii="Corbel" w:hAnsi="Corbel" w:cs="Calibri"/>
                <w:bCs/>
                <w:i/>
                <w:sz w:val="20"/>
                <w:szCs w:val="20"/>
              </w:rPr>
              <w:t>NIM Bucharest</w:t>
            </w:r>
          </w:p>
          <w:p w:rsidR="00262124" w:rsidRPr="000916CB" w:rsidRDefault="00262124" w:rsidP="0061095F">
            <w:pPr>
              <w:autoSpaceDE w:val="0"/>
              <w:autoSpaceDN w:val="0"/>
              <w:adjustRightInd w:val="0"/>
              <w:spacing w:line="276" w:lineRule="auto"/>
              <w:jc w:val="both"/>
              <w:rPr>
                <w:rFonts w:ascii="Corbel" w:hAnsi="Corbel" w:cs="Calibri"/>
                <w:bCs/>
                <w:i/>
                <w:sz w:val="20"/>
                <w:szCs w:val="20"/>
              </w:rPr>
            </w:pPr>
            <w:r w:rsidRPr="000916CB">
              <w:rPr>
                <w:rFonts w:ascii="Corbel" w:hAnsi="Corbel" w:cs="Calibri"/>
                <w:bCs/>
                <w:i/>
                <w:sz w:val="20"/>
                <w:szCs w:val="20"/>
              </w:rPr>
              <w:t xml:space="preserve">HELP </w:t>
            </w:r>
            <w:proofErr w:type="spellStart"/>
            <w:r w:rsidRPr="000916CB">
              <w:rPr>
                <w:rFonts w:ascii="Corbel" w:hAnsi="Corbel" w:cs="Calibri"/>
                <w:bCs/>
                <w:i/>
                <w:sz w:val="20"/>
                <w:szCs w:val="20"/>
              </w:rPr>
              <w:t>Programme</w:t>
            </w:r>
            <w:proofErr w:type="spellEnd"/>
            <w:r w:rsidRPr="000916CB">
              <w:rPr>
                <w:rFonts w:ascii="Corbel" w:hAnsi="Corbel" w:cs="Calibri"/>
                <w:bCs/>
                <w:i/>
                <w:sz w:val="20"/>
                <w:szCs w:val="20"/>
              </w:rPr>
              <w:t>, Council of Europe</w:t>
            </w:r>
          </w:p>
        </w:tc>
      </w:tr>
      <w:tr w:rsidR="003C0E5B" w:rsidRPr="000916CB" w:rsidTr="003C0E5B">
        <w:tc>
          <w:tcPr>
            <w:tcW w:w="1809" w:type="dxa"/>
          </w:tcPr>
          <w:p w:rsidR="003C0E5B" w:rsidRPr="000916CB" w:rsidRDefault="002B0A8C" w:rsidP="002B0A8C">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10.10</w:t>
            </w:r>
            <w:r w:rsidR="003C0E5B" w:rsidRPr="000916CB">
              <w:rPr>
                <w:rFonts w:ascii="Corbel" w:hAnsi="Corbel" w:cs="Calibri"/>
                <w:bCs/>
                <w:sz w:val="20"/>
                <w:szCs w:val="20"/>
              </w:rPr>
              <w:t xml:space="preserve"> – </w:t>
            </w:r>
            <w:r w:rsidRPr="000916CB">
              <w:rPr>
                <w:rFonts w:ascii="Corbel" w:hAnsi="Corbel" w:cs="Calibri"/>
                <w:bCs/>
                <w:sz w:val="20"/>
                <w:szCs w:val="20"/>
              </w:rPr>
              <w:t>11.00</w:t>
            </w:r>
          </w:p>
        </w:tc>
        <w:tc>
          <w:tcPr>
            <w:tcW w:w="8330" w:type="dxa"/>
          </w:tcPr>
          <w:p w:rsidR="003C0E5B" w:rsidRPr="000916CB" w:rsidRDefault="003C0E5B" w:rsidP="00CE2F78">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 xml:space="preserve">Presentation of the HELP </w:t>
            </w:r>
            <w:proofErr w:type="spellStart"/>
            <w:r w:rsidRPr="000916CB">
              <w:rPr>
                <w:rFonts w:ascii="Corbel" w:hAnsi="Corbel" w:cs="Calibri"/>
                <w:bCs/>
                <w:sz w:val="20"/>
                <w:szCs w:val="20"/>
              </w:rPr>
              <w:t>Programme</w:t>
            </w:r>
            <w:proofErr w:type="spellEnd"/>
            <w:r w:rsidRPr="000916CB">
              <w:rPr>
                <w:rFonts w:ascii="Corbel" w:hAnsi="Corbel" w:cs="Calibri"/>
                <w:bCs/>
                <w:sz w:val="20"/>
                <w:szCs w:val="20"/>
              </w:rPr>
              <w:t xml:space="preserve"> and the HELP in the EU Project</w:t>
            </w:r>
          </w:p>
          <w:p w:rsidR="00FE354C" w:rsidRPr="000916CB" w:rsidRDefault="002B0A8C" w:rsidP="00CE2F78">
            <w:pPr>
              <w:autoSpaceDE w:val="0"/>
              <w:autoSpaceDN w:val="0"/>
              <w:adjustRightInd w:val="0"/>
              <w:spacing w:line="276" w:lineRule="auto"/>
              <w:jc w:val="both"/>
              <w:rPr>
                <w:rFonts w:ascii="Corbel" w:hAnsi="Corbel" w:cs="Calibri"/>
                <w:bCs/>
                <w:i/>
                <w:sz w:val="20"/>
                <w:szCs w:val="20"/>
              </w:rPr>
            </w:pPr>
            <w:r w:rsidRPr="000916CB">
              <w:rPr>
                <w:rFonts w:ascii="Corbel" w:hAnsi="Corbel" w:cs="Calibri"/>
                <w:bCs/>
                <w:i/>
                <w:sz w:val="20"/>
                <w:szCs w:val="20"/>
              </w:rPr>
              <w:t xml:space="preserve">‘HELP in the EU’ Project Coordinator, HELP </w:t>
            </w:r>
            <w:proofErr w:type="spellStart"/>
            <w:r w:rsidRPr="000916CB">
              <w:rPr>
                <w:rFonts w:ascii="Corbel" w:hAnsi="Corbel" w:cs="Calibri"/>
                <w:bCs/>
                <w:i/>
                <w:sz w:val="20"/>
                <w:szCs w:val="20"/>
              </w:rPr>
              <w:t>Programme</w:t>
            </w:r>
            <w:proofErr w:type="spellEnd"/>
            <w:r w:rsidRPr="000916CB">
              <w:rPr>
                <w:rFonts w:ascii="Corbel" w:hAnsi="Corbel" w:cs="Calibri"/>
                <w:bCs/>
                <w:i/>
                <w:sz w:val="20"/>
                <w:szCs w:val="20"/>
              </w:rPr>
              <w:t>, Council of Europe</w:t>
            </w:r>
          </w:p>
        </w:tc>
      </w:tr>
      <w:tr w:rsidR="003C0E5B" w:rsidRPr="000916CB" w:rsidTr="003C0E5B">
        <w:tc>
          <w:tcPr>
            <w:tcW w:w="1809" w:type="dxa"/>
          </w:tcPr>
          <w:p w:rsidR="003C0E5B" w:rsidRPr="000916CB" w:rsidRDefault="003C0E5B" w:rsidP="00CE2F78">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11.00 – 11.30</w:t>
            </w:r>
          </w:p>
        </w:tc>
        <w:tc>
          <w:tcPr>
            <w:tcW w:w="8330" w:type="dxa"/>
          </w:tcPr>
          <w:p w:rsidR="003C0E5B" w:rsidRPr="000916CB" w:rsidRDefault="003C0E5B" w:rsidP="00616B66">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Coffee break</w:t>
            </w:r>
          </w:p>
        </w:tc>
      </w:tr>
      <w:tr w:rsidR="003C0E5B" w:rsidRPr="000916CB" w:rsidTr="003C0E5B">
        <w:tc>
          <w:tcPr>
            <w:tcW w:w="1809" w:type="dxa"/>
          </w:tcPr>
          <w:p w:rsidR="003C0E5B" w:rsidRPr="000916CB" w:rsidRDefault="003C0E5B" w:rsidP="00CE2F78">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11.30 – 12.30</w:t>
            </w:r>
          </w:p>
        </w:tc>
        <w:tc>
          <w:tcPr>
            <w:tcW w:w="8330" w:type="dxa"/>
          </w:tcPr>
          <w:p w:rsidR="002B58AB" w:rsidRPr="000916CB" w:rsidRDefault="00616B66" w:rsidP="002B58AB">
            <w:pPr>
              <w:autoSpaceDE w:val="0"/>
              <w:autoSpaceDN w:val="0"/>
              <w:adjustRightInd w:val="0"/>
              <w:spacing w:line="276" w:lineRule="auto"/>
              <w:jc w:val="both"/>
              <w:rPr>
                <w:rFonts w:ascii="Corbel" w:hAnsi="Corbel" w:cs="Calibri"/>
                <w:bCs/>
                <w:sz w:val="20"/>
                <w:szCs w:val="20"/>
              </w:rPr>
            </w:pPr>
            <w:r>
              <w:rPr>
                <w:rFonts w:ascii="Corbel" w:hAnsi="Corbel" w:cs="Calibri"/>
                <w:bCs/>
                <w:sz w:val="20"/>
                <w:szCs w:val="20"/>
              </w:rPr>
              <w:t>Data Protection</w:t>
            </w:r>
            <w:r w:rsidR="002B58AB" w:rsidRPr="000916CB">
              <w:rPr>
                <w:rFonts w:ascii="Corbel" w:hAnsi="Corbel" w:cs="Calibri"/>
                <w:bCs/>
                <w:sz w:val="20"/>
                <w:szCs w:val="20"/>
              </w:rPr>
              <w:t xml:space="preserve"> in the practice of the European Court of Human Rights – overview of key cases</w:t>
            </w:r>
          </w:p>
          <w:p w:rsidR="00913A9F" w:rsidRPr="000916CB" w:rsidRDefault="00844D44" w:rsidP="00CE2F78">
            <w:pPr>
              <w:autoSpaceDE w:val="0"/>
              <w:autoSpaceDN w:val="0"/>
              <w:adjustRightInd w:val="0"/>
              <w:spacing w:line="276" w:lineRule="auto"/>
              <w:jc w:val="both"/>
              <w:rPr>
                <w:rFonts w:ascii="Corbel" w:hAnsi="Corbel" w:cs="Calibri"/>
                <w:bCs/>
                <w:sz w:val="20"/>
                <w:szCs w:val="20"/>
                <w:highlight w:val="yellow"/>
              </w:rPr>
            </w:pPr>
            <w:r>
              <w:rPr>
                <w:rFonts w:ascii="Corbel" w:hAnsi="Corbel" w:cs="Calibri"/>
                <w:bCs/>
                <w:i/>
                <w:sz w:val="20"/>
                <w:szCs w:val="20"/>
              </w:rPr>
              <w:t>Judge</w:t>
            </w:r>
            <w:r w:rsidR="00616B66">
              <w:rPr>
                <w:rFonts w:ascii="Corbel" w:hAnsi="Corbel" w:cs="Calibri"/>
                <w:bCs/>
                <w:i/>
                <w:sz w:val="20"/>
                <w:szCs w:val="20"/>
              </w:rPr>
              <w:t>/lawyer</w:t>
            </w:r>
            <w:r>
              <w:rPr>
                <w:rFonts w:ascii="Corbel" w:hAnsi="Corbel" w:cs="Calibri"/>
                <w:bCs/>
                <w:i/>
                <w:sz w:val="20"/>
                <w:szCs w:val="20"/>
              </w:rPr>
              <w:t xml:space="preserve">, ECtHR </w:t>
            </w:r>
            <w:r w:rsidR="00616B66">
              <w:rPr>
                <w:rFonts w:ascii="Corbel" w:hAnsi="Corbel" w:cs="Calibri"/>
                <w:bCs/>
                <w:i/>
                <w:sz w:val="20"/>
                <w:szCs w:val="20"/>
              </w:rPr>
              <w:t>TBC</w:t>
            </w:r>
          </w:p>
        </w:tc>
      </w:tr>
      <w:tr w:rsidR="003C0E5B" w:rsidRPr="000916CB" w:rsidTr="003C0E5B">
        <w:tc>
          <w:tcPr>
            <w:tcW w:w="1809" w:type="dxa"/>
          </w:tcPr>
          <w:p w:rsidR="003C0E5B" w:rsidRPr="000916CB" w:rsidRDefault="003C0E5B" w:rsidP="00CE2F78">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12.30 – 14.00</w:t>
            </w:r>
          </w:p>
        </w:tc>
        <w:tc>
          <w:tcPr>
            <w:tcW w:w="8330" w:type="dxa"/>
          </w:tcPr>
          <w:p w:rsidR="003C0E5B" w:rsidRPr="000916CB" w:rsidRDefault="00616B66" w:rsidP="00CE2F78">
            <w:pPr>
              <w:autoSpaceDE w:val="0"/>
              <w:autoSpaceDN w:val="0"/>
              <w:adjustRightInd w:val="0"/>
              <w:spacing w:line="276" w:lineRule="auto"/>
              <w:jc w:val="both"/>
              <w:rPr>
                <w:rFonts w:ascii="Corbel" w:hAnsi="Corbel" w:cs="Calibri"/>
                <w:bCs/>
                <w:sz w:val="20"/>
                <w:szCs w:val="20"/>
              </w:rPr>
            </w:pPr>
            <w:r>
              <w:rPr>
                <w:rFonts w:ascii="Corbel" w:hAnsi="Corbel" w:cs="Calibri"/>
                <w:bCs/>
                <w:sz w:val="20"/>
                <w:szCs w:val="20"/>
              </w:rPr>
              <w:t>L</w:t>
            </w:r>
            <w:r w:rsidR="003C0E5B" w:rsidRPr="000916CB">
              <w:rPr>
                <w:rFonts w:ascii="Corbel" w:hAnsi="Corbel" w:cs="Calibri"/>
                <w:bCs/>
                <w:sz w:val="20"/>
                <w:szCs w:val="20"/>
              </w:rPr>
              <w:t>unch break</w:t>
            </w:r>
          </w:p>
        </w:tc>
      </w:tr>
      <w:tr w:rsidR="003C0E5B" w:rsidRPr="00E36FE5" w:rsidTr="003C0E5B">
        <w:tc>
          <w:tcPr>
            <w:tcW w:w="1809" w:type="dxa"/>
          </w:tcPr>
          <w:p w:rsidR="00E36FE5" w:rsidRPr="000916CB" w:rsidRDefault="00206D3F" w:rsidP="00CE2F78">
            <w:pPr>
              <w:autoSpaceDE w:val="0"/>
              <w:autoSpaceDN w:val="0"/>
              <w:adjustRightInd w:val="0"/>
              <w:spacing w:line="276" w:lineRule="auto"/>
              <w:jc w:val="both"/>
              <w:rPr>
                <w:rFonts w:ascii="Corbel" w:hAnsi="Corbel" w:cs="Calibri"/>
                <w:bCs/>
                <w:sz w:val="20"/>
                <w:szCs w:val="20"/>
              </w:rPr>
            </w:pPr>
            <w:r>
              <w:rPr>
                <w:rFonts w:ascii="Corbel" w:hAnsi="Corbel" w:cs="Calibri"/>
                <w:bCs/>
                <w:sz w:val="20"/>
                <w:szCs w:val="20"/>
              </w:rPr>
              <w:t>14.00 – 14.45</w:t>
            </w:r>
          </w:p>
        </w:tc>
        <w:tc>
          <w:tcPr>
            <w:tcW w:w="8330" w:type="dxa"/>
          </w:tcPr>
          <w:p w:rsidR="00206D3F" w:rsidRPr="000916CB" w:rsidRDefault="00206D3F" w:rsidP="00206D3F">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Presentation of the HELP e-learning platform and walk through</w:t>
            </w:r>
          </w:p>
          <w:p w:rsidR="00913A9F" w:rsidRPr="00E36FE5" w:rsidRDefault="00206D3F" w:rsidP="00206D3F">
            <w:pPr>
              <w:autoSpaceDE w:val="0"/>
              <w:autoSpaceDN w:val="0"/>
              <w:adjustRightInd w:val="0"/>
              <w:spacing w:line="276" w:lineRule="auto"/>
              <w:jc w:val="both"/>
              <w:rPr>
                <w:rFonts w:ascii="Corbel" w:hAnsi="Corbel" w:cs="Calibri"/>
                <w:bCs/>
                <w:sz w:val="20"/>
                <w:szCs w:val="20"/>
              </w:rPr>
            </w:pPr>
            <w:r>
              <w:rPr>
                <w:rFonts w:ascii="Corbel" w:hAnsi="Corbel" w:cs="Calibri"/>
                <w:bCs/>
                <w:i/>
                <w:sz w:val="20"/>
                <w:szCs w:val="20"/>
              </w:rPr>
              <w:t>HELP Secretariat</w:t>
            </w:r>
          </w:p>
        </w:tc>
      </w:tr>
      <w:tr w:rsidR="003C0E5B" w:rsidRPr="000916CB" w:rsidTr="003C0E5B">
        <w:tc>
          <w:tcPr>
            <w:tcW w:w="1809" w:type="dxa"/>
          </w:tcPr>
          <w:p w:rsidR="003C0E5B" w:rsidRPr="000916CB" w:rsidRDefault="00206D3F" w:rsidP="00CE2F78">
            <w:pPr>
              <w:autoSpaceDE w:val="0"/>
              <w:autoSpaceDN w:val="0"/>
              <w:adjustRightInd w:val="0"/>
              <w:spacing w:line="276" w:lineRule="auto"/>
              <w:jc w:val="both"/>
              <w:rPr>
                <w:rFonts w:ascii="Corbel" w:hAnsi="Corbel" w:cs="Calibri"/>
                <w:bCs/>
                <w:sz w:val="20"/>
                <w:szCs w:val="20"/>
              </w:rPr>
            </w:pPr>
            <w:r>
              <w:rPr>
                <w:rFonts w:ascii="Corbel" w:hAnsi="Corbel" w:cs="Calibri"/>
                <w:bCs/>
                <w:sz w:val="20"/>
                <w:szCs w:val="20"/>
              </w:rPr>
              <w:t>14.45</w:t>
            </w:r>
            <w:r w:rsidR="008465D7" w:rsidRPr="000916CB">
              <w:rPr>
                <w:rFonts w:ascii="Corbel" w:hAnsi="Corbel" w:cs="Calibri"/>
                <w:bCs/>
                <w:sz w:val="20"/>
                <w:szCs w:val="20"/>
              </w:rPr>
              <w:t xml:space="preserve"> </w:t>
            </w:r>
            <w:r w:rsidR="00CE2F78" w:rsidRPr="000916CB">
              <w:rPr>
                <w:rFonts w:ascii="Corbel" w:hAnsi="Corbel" w:cs="Calibri"/>
                <w:bCs/>
                <w:sz w:val="20"/>
                <w:szCs w:val="20"/>
              </w:rPr>
              <w:t>–</w:t>
            </w:r>
            <w:r w:rsidR="008465D7" w:rsidRPr="000916CB">
              <w:rPr>
                <w:rFonts w:ascii="Corbel" w:hAnsi="Corbel" w:cs="Calibri"/>
                <w:bCs/>
                <w:sz w:val="20"/>
                <w:szCs w:val="20"/>
              </w:rPr>
              <w:t xml:space="preserve"> </w:t>
            </w:r>
            <w:r>
              <w:rPr>
                <w:rFonts w:ascii="Corbel" w:hAnsi="Corbel" w:cs="Calibri"/>
                <w:bCs/>
                <w:sz w:val="20"/>
                <w:szCs w:val="20"/>
              </w:rPr>
              <w:t>15.30</w:t>
            </w:r>
          </w:p>
        </w:tc>
        <w:tc>
          <w:tcPr>
            <w:tcW w:w="8330" w:type="dxa"/>
          </w:tcPr>
          <w:p w:rsidR="00206D3F" w:rsidRPr="00E36FE5" w:rsidRDefault="00206D3F" w:rsidP="00206D3F">
            <w:pPr>
              <w:autoSpaceDE w:val="0"/>
              <w:autoSpaceDN w:val="0"/>
              <w:adjustRightInd w:val="0"/>
              <w:spacing w:line="276" w:lineRule="auto"/>
              <w:jc w:val="both"/>
              <w:rPr>
                <w:rFonts w:ascii="Corbel" w:hAnsi="Corbel" w:cs="Calibri"/>
                <w:bCs/>
                <w:i/>
                <w:sz w:val="20"/>
                <w:szCs w:val="20"/>
              </w:rPr>
            </w:pPr>
            <w:r w:rsidRPr="000916CB">
              <w:rPr>
                <w:rFonts w:ascii="Corbel" w:hAnsi="Corbel" w:cs="Calibri"/>
                <w:bCs/>
                <w:sz w:val="20"/>
                <w:szCs w:val="20"/>
              </w:rPr>
              <w:t>P</w:t>
            </w:r>
            <w:r>
              <w:rPr>
                <w:rFonts w:ascii="Corbel" w:hAnsi="Corbel" w:cs="Calibri"/>
                <w:bCs/>
                <w:sz w:val="20"/>
                <w:szCs w:val="20"/>
              </w:rPr>
              <w:t xml:space="preserve">resentation of the HELP course on </w:t>
            </w:r>
            <w:r w:rsidRPr="00E36FE5">
              <w:rPr>
                <w:rFonts w:ascii="Corbel" w:hAnsi="Corbel" w:cs="Calibri"/>
                <w:bCs/>
                <w:i/>
                <w:sz w:val="20"/>
                <w:szCs w:val="20"/>
              </w:rPr>
              <w:t>Data Protection and Privacy Rights</w:t>
            </w:r>
          </w:p>
          <w:p w:rsidR="00FE354C" w:rsidRPr="000916CB" w:rsidRDefault="00206D3F" w:rsidP="00206D3F">
            <w:pPr>
              <w:autoSpaceDE w:val="0"/>
              <w:autoSpaceDN w:val="0"/>
              <w:adjustRightInd w:val="0"/>
              <w:spacing w:line="276" w:lineRule="auto"/>
              <w:jc w:val="both"/>
              <w:rPr>
                <w:rFonts w:ascii="Corbel" w:hAnsi="Corbel" w:cs="Calibri"/>
                <w:bCs/>
                <w:i/>
                <w:sz w:val="20"/>
                <w:szCs w:val="20"/>
              </w:rPr>
            </w:pPr>
            <w:r w:rsidRPr="000916CB">
              <w:rPr>
                <w:rFonts w:ascii="Corbel" w:hAnsi="Corbel" w:cs="Calibri"/>
                <w:bCs/>
                <w:i/>
                <w:sz w:val="20"/>
                <w:szCs w:val="20"/>
              </w:rPr>
              <w:t>HELP Secretariat</w:t>
            </w:r>
          </w:p>
        </w:tc>
      </w:tr>
      <w:tr w:rsidR="003C0E5B" w:rsidRPr="000916CB" w:rsidTr="003C0E5B">
        <w:tc>
          <w:tcPr>
            <w:tcW w:w="1809" w:type="dxa"/>
          </w:tcPr>
          <w:p w:rsidR="003C0E5B" w:rsidRPr="000916CB" w:rsidRDefault="00206D3F" w:rsidP="00CE2F78">
            <w:pPr>
              <w:autoSpaceDE w:val="0"/>
              <w:autoSpaceDN w:val="0"/>
              <w:adjustRightInd w:val="0"/>
              <w:spacing w:line="276" w:lineRule="auto"/>
              <w:jc w:val="both"/>
              <w:rPr>
                <w:rFonts w:ascii="Corbel" w:hAnsi="Corbel" w:cs="Calibri"/>
                <w:bCs/>
                <w:sz w:val="20"/>
                <w:szCs w:val="20"/>
              </w:rPr>
            </w:pPr>
            <w:r>
              <w:rPr>
                <w:rFonts w:ascii="Corbel" w:hAnsi="Corbel" w:cs="Calibri"/>
                <w:bCs/>
                <w:sz w:val="20"/>
                <w:szCs w:val="20"/>
              </w:rPr>
              <w:t>15.3</w:t>
            </w:r>
            <w:r w:rsidR="00CE2F78" w:rsidRPr="000916CB">
              <w:rPr>
                <w:rFonts w:ascii="Corbel" w:hAnsi="Corbel" w:cs="Calibri"/>
                <w:bCs/>
                <w:sz w:val="20"/>
                <w:szCs w:val="20"/>
              </w:rPr>
              <w:t>0</w:t>
            </w:r>
            <w:r w:rsidR="008465D7" w:rsidRPr="000916CB">
              <w:rPr>
                <w:rFonts w:ascii="Corbel" w:hAnsi="Corbel" w:cs="Calibri"/>
                <w:bCs/>
                <w:sz w:val="20"/>
                <w:szCs w:val="20"/>
              </w:rPr>
              <w:t xml:space="preserve"> – 16.</w:t>
            </w:r>
            <w:r>
              <w:rPr>
                <w:rFonts w:ascii="Corbel" w:hAnsi="Corbel" w:cs="Calibri"/>
                <w:bCs/>
                <w:sz w:val="20"/>
                <w:szCs w:val="20"/>
              </w:rPr>
              <w:t>00</w:t>
            </w:r>
          </w:p>
        </w:tc>
        <w:tc>
          <w:tcPr>
            <w:tcW w:w="8330" w:type="dxa"/>
          </w:tcPr>
          <w:p w:rsidR="003C0E5B" w:rsidRPr="000916CB" w:rsidRDefault="008465D7" w:rsidP="00CE2F78">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Coffee break</w:t>
            </w:r>
          </w:p>
        </w:tc>
      </w:tr>
      <w:tr w:rsidR="003C0E5B" w:rsidRPr="000916CB" w:rsidTr="003C0E5B">
        <w:tc>
          <w:tcPr>
            <w:tcW w:w="1809" w:type="dxa"/>
          </w:tcPr>
          <w:p w:rsidR="003C0E5B" w:rsidRPr="000916CB" w:rsidRDefault="00206D3F" w:rsidP="00CE2F78">
            <w:pPr>
              <w:autoSpaceDE w:val="0"/>
              <w:autoSpaceDN w:val="0"/>
              <w:adjustRightInd w:val="0"/>
              <w:spacing w:line="276" w:lineRule="auto"/>
              <w:jc w:val="both"/>
              <w:rPr>
                <w:rFonts w:ascii="Corbel" w:hAnsi="Corbel" w:cs="Calibri"/>
                <w:bCs/>
                <w:sz w:val="20"/>
                <w:szCs w:val="20"/>
              </w:rPr>
            </w:pPr>
            <w:r>
              <w:rPr>
                <w:rFonts w:ascii="Corbel" w:hAnsi="Corbel" w:cs="Calibri"/>
                <w:bCs/>
                <w:sz w:val="20"/>
                <w:szCs w:val="20"/>
              </w:rPr>
              <w:t>16.00 – 17.30</w:t>
            </w:r>
          </w:p>
        </w:tc>
        <w:tc>
          <w:tcPr>
            <w:tcW w:w="8330" w:type="dxa"/>
          </w:tcPr>
          <w:p w:rsidR="00FE354C" w:rsidRPr="00206D3F" w:rsidRDefault="00206D3F" w:rsidP="00E36FE5">
            <w:pPr>
              <w:autoSpaceDE w:val="0"/>
              <w:autoSpaceDN w:val="0"/>
              <w:adjustRightInd w:val="0"/>
              <w:spacing w:line="276" w:lineRule="auto"/>
              <w:jc w:val="both"/>
              <w:rPr>
                <w:rFonts w:ascii="Corbel" w:hAnsi="Corbel" w:cs="Calibri"/>
                <w:bCs/>
                <w:sz w:val="20"/>
                <w:szCs w:val="20"/>
              </w:rPr>
            </w:pPr>
            <w:r>
              <w:rPr>
                <w:rFonts w:ascii="Corbel" w:hAnsi="Corbel" w:cs="Calibri"/>
                <w:bCs/>
                <w:sz w:val="20"/>
                <w:szCs w:val="20"/>
              </w:rPr>
              <w:t xml:space="preserve">Sessions by national groups: </w:t>
            </w:r>
            <w:r w:rsidRPr="00206D3F">
              <w:rPr>
                <w:rFonts w:ascii="Corbel" w:hAnsi="Corbel" w:cs="Calibri"/>
                <w:bCs/>
                <w:sz w:val="20"/>
                <w:szCs w:val="20"/>
              </w:rPr>
              <w:t>Meeting</w:t>
            </w:r>
            <w:r>
              <w:rPr>
                <w:rFonts w:ascii="Corbel" w:hAnsi="Corbel" w:cs="Calibri"/>
                <w:bCs/>
                <w:sz w:val="20"/>
                <w:szCs w:val="20"/>
              </w:rPr>
              <w:t xml:space="preserve"> with the national tutors for the presentation of the national pages and the course implementation, sharing of expectations</w:t>
            </w:r>
          </w:p>
        </w:tc>
      </w:tr>
      <w:tr w:rsidR="003C0E5B" w:rsidRPr="000916CB" w:rsidTr="003C0E5B">
        <w:tc>
          <w:tcPr>
            <w:tcW w:w="1809" w:type="dxa"/>
          </w:tcPr>
          <w:p w:rsidR="003C0E5B" w:rsidRPr="000916CB" w:rsidRDefault="008465D7" w:rsidP="00CE2F78">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17.30</w:t>
            </w:r>
          </w:p>
        </w:tc>
        <w:tc>
          <w:tcPr>
            <w:tcW w:w="8330" w:type="dxa"/>
          </w:tcPr>
          <w:p w:rsidR="003C0E5B" w:rsidRPr="000916CB" w:rsidRDefault="00C358BD" w:rsidP="00CE2F78">
            <w:pPr>
              <w:autoSpaceDE w:val="0"/>
              <w:autoSpaceDN w:val="0"/>
              <w:adjustRightInd w:val="0"/>
              <w:spacing w:line="276" w:lineRule="auto"/>
              <w:jc w:val="both"/>
              <w:rPr>
                <w:rFonts w:ascii="Corbel" w:hAnsi="Corbel" w:cs="Calibri"/>
                <w:bCs/>
                <w:sz w:val="20"/>
                <w:szCs w:val="20"/>
              </w:rPr>
            </w:pPr>
            <w:r>
              <w:rPr>
                <w:rFonts w:ascii="Corbel" w:hAnsi="Corbel" w:cs="Calibri"/>
                <w:bCs/>
                <w:sz w:val="20"/>
                <w:szCs w:val="20"/>
              </w:rPr>
              <w:t>C</w:t>
            </w:r>
            <w:r w:rsidR="008465D7" w:rsidRPr="000916CB">
              <w:rPr>
                <w:rFonts w:ascii="Corbel" w:hAnsi="Corbel" w:cs="Calibri"/>
                <w:bCs/>
                <w:sz w:val="20"/>
                <w:szCs w:val="20"/>
              </w:rPr>
              <w:t>losure of the first day</w:t>
            </w:r>
          </w:p>
        </w:tc>
      </w:tr>
    </w:tbl>
    <w:p w:rsidR="00CE2F78" w:rsidRDefault="00CE2F78" w:rsidP="005034EB">
      <w:pPr>
        <w:autoSpaceDE w:val="0"/>
        <w:autoSpaceDN w:val="0"/>
        <w:adjustRightInd w:val="0"/>
        <w:spacing w:after="0" w:line="240" w:lineRule="auto"/>
        <w:jc w:val="both"/>
        <w:rPr>
          <w:rFonts w:ascii="Corbel" w:hAnsi="Corbel" w:cs="Calibri"/>
          <w:bCs/>
        </w:rPr>
      </w:pPr>
    </w:p>
    <w:p w:rsidR="008465D7" w:rsidRDefault="000916CB" w:rsidP="005034EB">
      <w:pPr>
        <w:autoSpaceDE w:val="0"/>
        <w:autoSpaceDN w:val="0"/>
        <w:adjustRightInd w:val="0"/>
        <w:spacing w:after="0" w:line="240" w:lineRule="auto"/>
        <w:jc w:val="both"/>
        <w:rPr>
          <w:rFonts w:ascii="Corbel" w:hAnsi="Corbel" w:cs="Calibri"/>
          <w:bCs/>
        </w:rPr>
      </w:pPr>
      <w:r>
        <w:rPr>
          <w:rFonts w:ascii="Corbel" w:hAnsi="Corbel" w:cs="Calibri"/>
          <w:bCs/>
        </w:rPr>
        <w:t xml:space="preserve">Day 2 – </w:t>
      </w:r>
      <w:r w:rsidR="001A214D">
        <w:rPr>
          <w:rFonts w:ascii="Corbel" w:hAnsi="Corbel" w:cs="Calibri"/>
          <w:bCs/>
        </w:rPr>
        <w:t>19</w:t>
      </w:r>
      <w:bookmarkStart w:id="0" w:name="_GoBack"/>
      <w:bookmarkEnd w:id="0"/>
      <w:r w:rsidR="00E36FE5">
        <w:rPr>
          <w:rFonts w:ascii="Corbel" w:hAnsi="Corbel" w:cs="Calibri"/>
          <w:bCs/>
        </w:rPr>
        <w:t xml:space="preserve"> </w:t>
      </w:r>
      <w:r w:rsidR="00FE6F95">
        <w:rPr>
          <w:rFonts w:ascii="Corbel" w:hAnsi="Corbel" w:cs="Calibri"/>
          <w:bCs/>
        </w:rPr>
        <w:t xml:space="preserve">June </w:t>
      </w:r>
      <w:r w:rsidR="00E36FE5">
        <w:rPr>
          <w:rFonts w:ascii="Corbel" w:hAnsi="Corbel" w:cs="Calibri"/>
          <w:bCs/>
        </w:rPr>
        <w:t>2019</w:t>
      </w:r>
    </w:p>
    <w:p w:rsidR="008465D7" w:rsidRDefault="008465D7" w:rsidP="005034EB">
      <w:pPr>
        <w:autoSpaceDE w:val="0"/>
        <w:autoSpaceDN w:val="0"/>
        <w:adjustRightInd w:val="0"/>
        <w:spacing w:after="0" w:line="240" w:lineRule="auto"/>
        <w:jc w:val="both"/>
        <w:rPr>
          <w:rFonts w:ascii="Corbel" w:hAnsi="Corbel" w:cs="Calibri"/>
          <w:bCs/>
        </w:rPr>
      </w:pPr>
    </w:p>
    <w:tbl>
      <w:tblPr>
        <w:tblStyle w:val="TableGrid"/>
        <w:tblW w:w="0" w:type="auto"/>
        <w:tblInd w:w="0" w:type="dxa"/>
        <w:tblLook w:val="04A0" w:firstRow="1" w:lastRow="0" w:firstColumn="1" w:lastColumn="0" w:noHBand="0" w:noVBand="1"/>
      </w:tblPr>
      <w:tblGrid>
        <w:gridCol w:w="1809"/>
        <w:gridCol w:w="8330"/>
      </w:tblGrid>
      <w:tr w:rsidR="009E4DC4" w:rsidRPr="000916CB" w:rsidTr="001A2B08">
        <w:tc>
          <w:tcPr>
            <w:tcW w:w="1809" w:type="dxa"/>
          </w:tcPr>
          <w:p w:rsidR="009E4DC4" w:rsidRPr="000916CB" w:rsidRDefault="00E36FE5" w:rsidP="00564BED">
            <w:pPr>
              <w:autoSpaceDE w:val="0"/>
              <w:autoSpaceDN w:val="0"/>
              <w:adjustRightInd w:val="0"/>
              <w:spacing w:line="276" w:lineRule="auto"/>
              <w:jc w:val="both"/>
              <w:rPr>
                <w:rFonts w:ascii="Corbel" w:hAnsi="Corbel" w:cs="Calibri"/>
                <w:bCs/>
                <w:sz w:val="20"/>
                <w:szCs w:val="20"/>
              </w:rPr>
            </w:pPr>
            <w:r>
              <w:rPr>
                <w:rFonts w:ascii="Corbel" w:hAnsi="Corbel" w:cs="Calibri"/>
                <w:bCs/>
                <w:sz w:val="20"/>
                <w:szCs w:val="20"/>
              </w:rPr>
              <w:t>9.30 – 10.30</w:t>
            </w:r>
          </w:p>
        </w:tc>
        <w:tc>
          <w:tcPr>
            <w:tcW w:w="8330" w:type="dxa"/>
          </w:tcPr>
          <w:p w:rsidR="00206D3F" w:rsidRPr="000916CB" w:rsidRDefault="00206D3F" w:rsidP="00206D3F">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 xml:space="preserve">Current challenges related to </w:t>
            </w:r>
            <w:r>
              <w:rPr>
                <w:rFonts w:ascii="Corbel" w:hAnsi="Corbel" w:cs="Calibri"/>
                <w:bCs/>
                <w:sz w:val="20"/>
                <w:szCs w:val="20"/>
              </w:rPr>
              <w:t xml:space="preserve">data protection and the </w:t>
            </w:r>
            <w:proofErr w:type="spellStart"/>
            <w:r>
              <w:rPr>
                <w:rFonts w:ascii="Corbel" w:hAnsi="Corbel" w:cs="Calibri"/>
                <w:bCs/>
                <w:sz w:val="20"/>
                <w:szCs w:val="20"/>
              </w:rPr>
              <w:t>CoE</w:t>
            </w:r>
            <w:proofErr w:type="spellEnd"/>
            <w:r>
              <w:rPr>
                <w:rFonts w:ascii="Corbel" w:hAnsi="Corbel" w:cs="Calibri"/>
                <w:bCs/>
                <w:sz w:val="20"/>
                <w:szCs w:val="20"/>
              </w:rPr>
              <w:t xml:space="preserve"> work in the area – standards and implementation</w:t>
            </w:r>
          </w:p>
          <w:p w:rsidR="009E4DC4" w:rsidRPr="00C358BD" w:rsidRDefault="00206D3F" w:rsidP="00E36FE5">
            <w:pPr>
              <w:autoSpaceDE w:val="0"/>
              <w:autoSpaceDN w:val="0"/>
              <w:adjustRightInd w:val="0"/>
              <w:spacing w:line="276" w:lineRule="auto"/>
              <w:jc w:val="both"/>
              <w:rPr>
                <w:rFonts w:ascii="Corbel" w:hAnsi="Corbel" w:cs="Calibri"/>
                <w:bCs/>
                <w:i/>
                <w:sz w:val="20"/>
                <w:szCs w:val="20"/>
              </w:rPr>
            </w:pPr>
            <w:r w:rsidRPr="00C358BD">
              <w:rPr>
                <w:rFonts w:ascii="Corbel" w:hAnsi="Corbel" w:cs="Calibri"/>
                <w:bCs/>
                <w:i/>
                <w:sz w:val="20"/>
                <w:szCs w:val="20"/>
              </w:rPr>
              <w:t>Data Protection Unit, Council of Europe</w:t>
            </w:r>
            <w:r w:rsidR="00FE6F95">
              <w:rPr>
                <w:rFonts w:ascii="Corbel" w:hAnsi="Corbel" w:cs="Calibri"/>
                <w:bCs/>
                <w:i/>
                <w:sz w:val="20"/>
                <w:szCs w:val="20"/>
              </w:rPr>
              <w:t xml:space="preserve"> TBC</w:t>
            </w:r>
          </w:p>
        </w:tc>
      </w:tr>
      <w:tr w:rsidR="009B4601" w:rsidRPr="000916CB" w:rsidTr="001A2B08">
        <w:tc>
          <w:tcPr>
            <w:tcW w:w="1809" w:type="dxa"/>
          </w:tcPr>
          <w:p w:rsidR="009B4601" w:rsidRPr="000916CB" w:rsidRDefault="00E36FE5" w:rsidP="00564BED">
            <w:pPr>
              <w:autoSpaceDE w:val="0"/>
              <w:autoSpaceDN w:val="0"/>
              <w:adjustRightInd w:val="0"/>
              <w:spacing w:line="276" w:lineRule="auto"/>
              <w:jc w:val="both"/>
              <w:rPr>
                <w:rFonts w:ascii="Corbel" w:hAnsi="Corbel" w:cs="Calibri"/>
                <w:bCs/>
                <w:sz w:val="20"/>
                <w:szCs w:val="20"/>
              </w:rPr>
            </w:pPr>
            <w:r>
              <w:rPr>
                <w:rFonts w:ascii="Corbel" w:hAnsi="Corbel" w:cs="Calibri"/>
                <w:bCs/>
                <w:sz w:val="20"/>
                <w:szCs w:val="20"/>
              </w:rPr>
              <w:t>10.30 – 11.30</w:t>
            </w:r>
          </w:p>
        </w:tc>
        <w:tc>
          <w:tcPr>
            <w:tcW w:w="8330" w:type="dxa"/>
          </w:tcPr>
          <w:p w:rsidR="009E4DC4" w:rsidRDefault="00E36FE5" w:rsidP="00564BED">
            <w:pPr>
              <w:autoSpaceDE w:val="0"/>
              <w:autoSpaceDN w:val="0"/>
              <w:adjustRightInd w:val="0"/>
              <w:spacing w:line="276" w:lineRule="auto"/>
              <w:jc w:val="both"/>
              <w:rPr>
                <w:rFonts w:ascii="Corbel" w:hAnsi="Corbel" w:cs="Calibri"/>
                <w:bCs/>
                <w:sz w:val="20"/>
                <w:szCs w:val="20"/>
              </w:rPr>
            </w:pPr>
            <w:r>
              <w:rPr>
                <w:rFonts w:ascii="Corbel" w:hAnsi="Corbel" w:cs="Calibri"/>
                <w:bCs/>
                <w:sz w:val="20"/>
                <w:szCs w:val="20"/>
              </w:rPr>
              <w:t>The EU work in the area of Data Protection</w:t>
            </w:r>
          </w:p>
          <w:p w:rsidR="00E36FE5" w:rsidRPr="00C358BD" w:rsidRDefault="00E36FE5" w:rsidP="00564BED">
            <w:pPr>
              <w:autoSpaceDE w:val="0"/>
              <w:autoSpaceDN w:val="0"/>
              <w:adjustRightInd w:val="0"/>
              <w:spacing w:line="276" w:lineRule="auto"/>
              <w:jc w:val="both"/>
              <w:rPr>
                <w:rFonts w:ascii="Corbel" w:hAnsi="Corbel" w:cs="Calibri"/>
                <w:bCs/>
                <w:i/>
                <w:sz w:val="20"/>
                <w:szCs w:val="20"/>
              </w:rPr>
            </w:pPr>
            <w:r w:rsidRPr="00C358BD">
              <w:rPr>
                <w:rFonts w:ascii="Corbel" w:hAnsi="Corbel" w:cs="Calibri"/>
                <w:bCs/>
                <w:i/>
                <w:sz w:val="20"/>
                <w:szCs w:val="20"/>
              </w:rPr>
              <w:t>FRA</w:t>
            </w:r>
          </w:p>
        </w:tc>
      </w:tr>
      <w:tr w:rsidR="009B4601" w:rsidRPr="000916CB" w:rsidTr="001A2B08">
        <w:tc>
          <w:tcPr>
            <w:tcW w:w="1809" w:type="dxa"/>
          </w:tcPr>
          <w:p w:rsidR="009B4601" w:rsidRPr="000916CB" w:rsidRDefault="00206D3F" w:rsidP="00564BED">
            <w:pPr>
              <w:autoSpaceDE w:val="0"/>
              <w:autoSpaceDN w:val="0"/>
              <w:adjustRightInd w:val="0"/>
              <w:spacing w:line="276" w:lineRule="auto"/>
              <w:jc w:val="both"/>
              <w:rPr>
                <w:rFonts w:ascii="Corbel" w:hAnsi="Corbel" w:cs="Calibri"/>
                <w:bCs/>
                <w:sz w:val="20"/>
                <w:szCs w:val="20"/>
              </w:rPr>
            </w:pPr>
            <w:r>
              <w:rPr>
                <w:rFonts w:ascii="Corbel" w:hAnsi="Corbel" w:cs="Calibri"/>
                <w:bCs/>
                <w:sz w:val="20"/>
                <w:szCs w:val="20"/>
              </w:rPr>
              <w:t>11.30</w:t>
            </w:r>
            <w:r w:rsidR="009B4601" w:rsidRPr="000916CB">
              <w:rPr>
                <w:rFonts w:ascii="Corbel" w:hAnsi="Corbel" w:cs="Calibri"/>
                <w:bCs/>
                <w:sz w:val="20"/>
                <w:szCs w:val="20"/>
              </w:rPr>
              <w:t xml:space="preserve"> – </w:t>
            </w:r>
            <w:r w:rsidR="00C358BD">
              <w:rPr>
                <w:rFonts w:ascii="Corbel" w:hAnsi="Corbel" w:cs="Calibri"/>
                <w:bCs/>
                <w:sz w:val="20"/>
                <w:szCs w:val="20"/>
              </w:rPr>
              <w:t>12.00</w:t>
            </w:r>
          </w:p>
        </w:tc>
        <w:tc>
          <w:tcPr>
            <w:tcW w:w="8330" w:type="dxa"/>
          </w:tcPr>
          <w:p w:rsidR="00913A9F" w:rsidRPr="000916CB" w:rsidRDefault="00564BED" w:rsidP="00564BED">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Coffee break</w:t>
            </w:r>
          </w:p>
        </w:tc>
      </w:tr>
      <w:tr w:rsidR="009B4601" w:rsidRPr="000916CB" w:rsidTr="001A2B08">
        <w:tc>
          <w:tcPr>
            <w:tcW w:w="1809" w:type="dxa"/>
          </w:tcPr>
          <w:p w:rsidR="009B4601" w:rsidRPr="000916CB" w:rsidRDefault="00564BED" w:rsidP="00564BED">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12.00 – 12.45</w:t>
            </w:r>
          </w:p>
        </w:tc>
        <w:tc>
          <w:tcPr>
            <w:tcW w:w="8330" w:type="dxa"/>
          </w:tcPr>
          <w:p w:rsidR="00C358BD" w:rsidRPr="000916CB" w:rsidRDefault="00C358BD" w:rsidP="00C358BD">
            <w:pPr>
              <w:autoSpaceDE w:val="0"/>
              <w:autoSpaceDN w:val="0"/>
              <w:adjustRightInd w:val="0"/>
              <w:spacing w:line="276" w:lineRule="auto"/>
              <w:jc w:val="both"/>
              <w:rPr>
                <w:rFonts w:ascii="Corbel" w:hAnsi="Corbel" w:cs="Calibri"/>
                <w:bCs/>
                <w:sz w:val="20"/>
                <w:szCs w:val="20"/>
              </w:rPr>
            </w:pPr>
            <w:r>
              <w:rPr>
                <w:rFonts w:ascii="Corbel" w:hAnsi="Corbel" w:cs="Calibri"/>
                <w:bCs/>
                <w:sz w:val="20"/>
                <w:szCs w:val="20"/>
              </w:rPr>
              <w:t>Data Protection dimensions in the fight against cybercrime</w:t>
            </w:r>
          </w:p>
          <w:p w:rsidR="0003686D" w:rsidRPr="000916CB" w:rsidRDefault="00C358BD" w:rsidP="00C358BD">
            <w:pPr>
              <w:autoSpaceDE w:val="0"/>
              <w:autoSpaceDN w:val="0"/>
              <w:adjustRightInd w:val="0"/>
              <w:spacing w:line="276" w:lineRule="auto"/>
              <w:jc w:val="both"/>
              <w:rPr>
                <w:rFonts w:ascii="Corbel" w:hAnsi="Corbel" w:cs="Calibri"/>
                <w:bCs/>
                <w:sz w:val="20"/>
                <w:szCs w:val="20"/>
              </w:rPr>
            </w:pPr>
            <w:r w:rsidRPr="000916CB">
              <w:rPr>
                <w:rFonts w:ascii="Corbel" w:hAnsi="Corbel" w:cs="Calibri"/>
                <w:bCs/>
                <w:i/>
                <w:sz w:val="20"/>
                <w:szCs w:val="20"/>
              </w:rPr>
              <w:t xml:space="preserve"> Council of Europe</w:t>
            </w:r>
            <w:r>
              <w:rPr>
                <w:rFonts w:ascii="Corbel" w:hAnsi="Corbel" w:cs="Calibri"/>
                <w:bCs/>
                <w:i/>
                <w:sz w:val="20"/>
                <w:szCs w:val="20"/>
              </w:rPr>
              <w:t xml:space="preserve"> office in Bucharest</w:t>
            </w:r>
            <w:r w:rsidR="00FE6F95">
              <w:rPr>
                <w:rFonts w:ascii="Corbel" w:hAnsi="Corbel" w:cs="Calibri"/>
                <w:bCs/>
                <w:i/>
                <w:sz w:val="20"/>
                <w:szCs w:val="20"/>
              </w:rPr>
              <w:t xml:space="preserve"> TBC</w:t>
            </w:r>
          </w:p>
        </w:tc>
      </w:tr>
      <w:tr w:rsidR="009B4601" w:rsidRPr="000916CB" w:rsidTr="001A2B08">
        <w:tc>
          <w:tcPr>
            <w:tcW w:w="1809" w:type="dxa"/>
          </w:tcPr>
          <w:p w:rsidR="009B4601" w:rsidRPr="000916CB" w:rsidRDefault="00913A9F" w:rsidP="00564BED">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12</w:t>
            </w:r>
            <w:r w:rsidR="00564BED" w:rsidRPr="000916CB">
              <w:rPr>
                <w:rFonts w:ascii="Corbel" w:hAnsi="Corbel" w:cs="Calibri"/>
                <w:bCs/>
                <w:sz w:val="20"/>
                <w:szCs w:val="20"/>
              </w:rPr>
              <w:t>.45</w:t>
            </w:r>
            <w:r w:rsidR="009B4601" w:rsidRPr="000916CB">
              <w:rPr>
                <w:rFonts w:ascii="Corbel" w:hAnsi="Corbel" w:cs="Calibri"/>
                <w:bCs/>
                <w:sz w:val="20"/>
                <w:szCs w:val="20"/>
              </w:rPr>
              <w:t xml:space="preserve"> –</w:t>
            </w:r>
            <w:r w:rsidRPr="000916CB">
              <w:rPr>
                <w:rFonts w:ascii="Corbel" w:hAnsi="Corbel" w:cs="Calibri"/>
                <w:bCs/>
                <w:sz w:val="20"/>
                <w:szCs w:val="20"/>
              </w:rPr>
              <w:t xml:space="preserve"> 13</w:t>
            </w:r>
            <w:r w:rsidR="009B4601" w:rsidRPr="000916CB">
              <w:rPr>
                <w:rFonts w:ascii="Corbel" w:hAnsi="Corbel" w:cs="Calibri"/>
                <w:bCs/>
                <w:sz w:val="20"/>
                <w:szCs w:val="20"/>
              </w:rPr>
              <w:t>.</w:t>
            </w:r>
            <w:r w:rsidRPr="000916CB">
              <w:rPr>
                <w:rFonts w:ascii="Corbel" w:hAnsi="Corbel" w:cs="Calibri"/>
                <w:bCs/>
                <w:sz w:val="20"/>
                <w:szCs w:val="20"/>
              </w:rPr>
              <w:t>0</w:t>
            </w:r>
            <w:r w:rsidR="009B4601" w:rsidRPr="000916CB">
              <w:rPr>
                <w:rFonts w:ascii="Corbel" w:hAnsi="Corbel" w:cs="Calibri"/>
                <w:bCs/>
                <w:sz w:val="20"/>
                <w:szCs w:val="20"/>
              </w:rPr>
              <w:t>0</w:t>
            </w:r>
          </w:p>
        </w:tc>
        <w:tc>
          <w:tcPr>
            <w:tcW w:w="8330" w:type="dxa"/>
          </w:tcPr>
          <w:p w:rsidR="009B4601" w:rsidRPr="000916CB" w:rsidRDefault="00CE2F78" w:rsidP="00564BED">
            <w:pPr>
              <w:autoSpaceDE w:val="0"/>
              <w:autoSpaceDN w:val="0"/>
              <w:adjustRightInd w:val="0"/>
              <w:spacing w:line="276" w:lineRule="auto"/>
              <w:jc w:val="both"/>
              <w:rPr>
                <w:rFonts w:ascii="Corbel" w:hAnsi="Corbel" w:cs="Calibri"/>
                <w:bCs/>
                <w:sz w:val="20"/>
                <w:szCs w:val="20"/>
              </w:rPr>
            </w:pPr>
            <w:r w:rsidRPr="000916CB">
              <w:rPr>
                <w:rFonts w:ascii="Corbel" w:hAnsi="Corbel" w:cs="Calibri"/>
                <w:bCs/>
                <w:sz w:val="20"/>
                <w:szCs w:val="20"/>
              </w:rPr>
              <w:t>Conclusions and closure</w:t>
            </w:r>
          </w:p>
        </w:tc>
      </w:tr>
    </w:tbl>
    <w:p w:rsidR="00C620C0" w:rsidRPr="00CE7151" w:rsidRDefault="00C620C0" w:rsidP="005034EB">
      <w:pPr>
        <w:autoSpaceDE w:val="0"/>
        <w:autoSpaceDN w:val="0"/>
        <w:adjustRightInd w:val="0"/>
        <w:spacing w:after="0" w:line="240" w:lineRule="auto"/>
        <w:jc w:val="both"/>
        <w:rPr>
          <w:rFonts w:ascii="Corbel" w:hAnsi="Corbel" w:cs="Calibri"/>
        </w:rPr>
      </w:pPr>
    </w:p>
    <w:p w:rsidR="008569B9" w:rsidRPr="00FF28E4" w:rsidRDefault="008569B9" w:rsidP="008569B9">
      <w:pPr>
        <w:rPr>
          <w:rFonts w:ascii="Corbel" w:hAnsi="Corbel" w:cs="Calibri"/>
          <w:b/>
          <w:color w:val="1498BF"/>
        </w:rPr>
      </w:pPr>
    </w:p>
    <w:sectPr w:rsidR="008569B9" w:rsidRPr="00FF28E4" w:rsidSect="009E1DEB">
      <w:headerReference w:type="default" r:id="rId18"/>
      <w:footerReference w:type="default" r:id="rId19"/>
      <w:pgSz w:w="12240" w:h="15840"/>
      <w:pgMar w:top="1440" w:right="1183" w:bottom="709"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B16" w:rsidRDefault="00B06B16" w:rsidP="00850729">
      <w:pPr>
        <w:spacing w:after="0" w:line="240" w:lineRule="auto"/>
      </w:pPr>
      <w:r>
        <w:separator/>
      </w:r>
    </w:p>
  </w:endnote>
  <w:endnote w:type="continuationSeparator" w:id="0">
    <w:p w:rsidR="00B06B16" w:rsidRDefault="00B06B16" w:rsidP="00850729">
      <w:pPr>
        <w:spacing w:after="0" w:line="240" w:lineRule="auto"/>
      </w:pPr>
      <w:r>
        <w:continuationSeparator/>
      </w:r>
    </w:p>
  </w:endnote>
  <w:endnote w:type="continuationNotice" w:id="1">
    <w:p w:rsidR="00B06B16" w:rsidRDefault="00B06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F81" w:rsidRPr="00130458" w:rsidRDefault="005D0495" w:rsidP="00130458">
    <w:pPr>
      <w:autoSpaceDE w:val="0"/>
      <w:autoSpaceDN w:val="0"/>
      <w:adjustRightInd w:val="0"/>
      <w:spacing w:after="0" w:line="240" w:lineRule="auto"/>
      <w:jc w:val="right"/>
      <w:rPr>
        <w:i/>
        <w:color w:val="808080" w:themeColor="background1" w:themeShade="80"/>
        <w:sz w:val="16"/>
        <w:szCs w:val="16"/>
      </w:rPr>
    </w:pPr>
    <w:r w:rsidRPr="00130458">
      <w:rPr>
        <w:rFonts w:ascii="TimesNewRomanPSMT" w:hAnsi="TimesNewRomanPSMT" w:cs="TimesNewRomanPSMT"/>
        <w:i/>
        <w:color w:val="808080" w:themeColor="background1" w:themeShade="80"/>
        <w:sz w:val="16"/>
        <w:szCs w:val="16"/>
      </w:rPr>
      <w:t xml:space="preserve">This </w:t>
    </w:r>
    <w:r w:rsidR="00130458" w:rsidRPr="00130458">
      <w:rPr>
        <w:rFonts w:ascii="TimesNewRomanPSMT" w:hAnsi="TimesNewRomanPSMT" w:cs="TimesNewRomanPSMT"/>
        <w:i/>
        <w:color w:val="808080" w:themeColor="background1" w:themeShade="80"/>
        <w:sz w:val="16"/>
        <w:szCs w:val="16"/>
      </w:rPr>
      <w:t>activity is</w:t>
    </w:r>
    <w:r w:rsidRPr="00130458">
      <w:rPr>
        <w:rFonts w:ascii="TimesNewRomanPSMT" w:hAnsi="TimesNewRomanPSMT" w:cs="TimesNewRomanPSMT"/>
        <w:i/>
        <w:color w:val="808080" w:themeColor="background1" w:themeShade="80"/>
        <w:sz w:val="16"/>
        <w:szCs w:val="16"/>
      </w:rPr>
      <w:t xml:space="preserve"> funded by the European Union’s Justice Programme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B16" w:rsidRDefault="00B06B16" w:rsidP="00850729">
      <w:pPr>
        <w:spacing w:after="0" w:line="240" w:lineRule="auto"/>
      </w:pPr>
      <w:r>
        <w:separator/>
      </w:r>
    </w:p>
  </w:footnote>
  <w:footnote w:type="continuationSeparator" w:id="0">
    <w:p w:rsidR="00B06B16" w:rsidRDefault="00B06B16" w:rsidP="00850729">
      <w:pPr>
        <w:spacing w:after="0" w:line="240" w:lineRule="auto"/>
      </w:pPr>
      <w:r>
        <w:continuationSeparator/>
      </w:r>
    </w:p>
  </w:footnote>
  <w:footnote w:type="continuationNotice" w:id="1">
    <w:p w:rsidR="00B06B16" w:rsidRDefault="00B06B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98BF"/>
      <w:tblLayout w:type="fixed"/>
      <w:tblLook w:val="04A0" w:firstRow="1" w:lastRow="0" w:firstColumn="1" w:lastColumn="0" w:noHBand="0" w:noVBand="1"/>
    </w:tblPr>
    <w:tblGrid>
      <w:gridCol w:w="5529"/>
      <w:gridCol w:w="4536"/>
    </w:tblGrid>
    <w:tr w:rsidR="00850729" w:rsidTr="00850729">
      <w:trPr>
        <w:trHeight w:val="854"/>
      </w:trPr>
      <w:tc>
        <w:tcPr>
          <w:tcW w:w="5529" w:type="dxa"/>
          <w:shd w:val="clear" w:color="auto" w:fill="1498BF"/>
          <w:vAlign w:val="bottom"/>
          <w:hideMark/>
        </w:tcPr>
        <w:p w:rsidR="00850729" w:rsidRDefault="00850729">
          <w:pPr>
            <w:pStyle w:val="Header"/>
            <w:jc w:val="center"/>
            <w:rPr>
              <w:lang w:val="fr-FR"/>
            </w:rPr>
          </w:pPr>
          <w:r>
            <w:rPr>
              <w:noProof/>
            </w:rPr>
            <w:drawing>
              <wp:inline distT="0" distB="0" distL="0" distR="0" wp14:anchorId="671F7375" wp14:editId="3C9D37A8">
                <wp:extent cx="3068320" cy="462280"/>
                <wp:effectExtent l="19050" t="0" r="17780" b="185420"/>
                <wp:docPr id="14" name="Picture 14" descr="P:\_coe-settings\desktop\HELP-header-banner.jpg"/>
                <wp:cNvGraphicFramePr/>
                <a:graphic xmlns:a="http://schemas.openxmlformats.org/drawingml/2006/main">
                  <a:graphicData uri="http://schemas.openxmlformats.org/drawingml/2006/picture">
                    <pic:pic xmlns:pic="http://schemas.openxmlformats.org/drawingml/2006/picture">
                      <pic:nvPicPr>
                        <pic:cNvPr id="14" name="Picture 14" descr="P:\_coe-settings\desktop\HELP-header-banner.jpg"/>
                        <pic:cNvPicPr/>
                      </pic:nvPicPr>
                      <pic:blipFill rotWithShape="1">
                        <a:blip r:embed="rId1">
                          <a:extLst>
                            <a:ext uri="{28A0092B-C50C-407E-A947-70E740481C1C}">
                              <a14:useLocalDpi xmlns:a14="http://schemas.microsoft.com/office/drawing/2010/main" val="0"/>
                            </a:ext>
                          </a:extLst>
                        </a:blip>
                        <a:srcRect l="2542"/>
                        <a:stretch/>
                      </pic:blipFill>
                      <pic:spPr bwMode="auto">
                        <a:xfrm>
                          <a:off x="0" y="0"/>
                          <a:ext cx="3071403" cy="4627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tc>
      <w:tc>
        <w:tcPr>
          <w:tcW w:w="4536" w:type="dxa"/>
          <w:vMerge w:val="restart"/>
          <w:shd w:val="clear" w:color="auto" w:fill="1498BF"/>
          <w:vAlign w:val="center"/>
          <w:hideMark/>
        </w:tcPr>
        <w:p w:rsidR="00850729" w:rsidRDefault="00850729">
          <w:pPr>
            <w:pStyle w:val="Header"/>
            <w:jc w:val="right"/>
            <w:rPr>
              <w:color w:val="FFFFFF" w:themeColor="background1"/>
              <w:lang w:val="fr-FR"/>
            </w:rPr>
          </w:pPr>
          <w:r>
            <w:rPr>
              <w:rFonts w:eastAsiaTheme="minorEastAsia" w:hAnsi="Calibri"/>
              <w:noProof/>
              <w:color w:val="000000" w:themeColor="dark1"/>
              <w:kern w:val="24"/>
            </w:rPr>
            <w:drawing>
              <wp:inline distT="0" distB="0" distL="0" distR="0" wp14:anchorId="766CEDF0" wp14:editId="4BF0FC15">
                <wp:extent cx="2265045" cy="701675"/>
                <wp:effectExtent l="0" t="0" r="1905" b="3175"/>
                <wp:docPr id="1" name="Picture 1" descr="Banniere Web HELP IN TH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niere Web HELP IN THE 28"/>
                        <pic:cNvPicPr>
                          <a:picLocks noChangeAspect="1" noChangeArrowheads="1"/>
                        </pic:cNvPicPr>
                      </pic:nvPicPr>
                      <pic:blipFill>
                        <a:blip r:embed="rId2">
                          <a:extLst>
                            <a:ext uri="{28A0092B-C50C-407E-A947-70E740481C1C}">
                              <a14:useLocalDpi xmlns:a14="http://schemas.microsoft.com/office/drawing/2010/main" val="0"/>
                            </a:ext>
                          </a:extLst>
                        </a:blip>
                        <a:srcRect l="61742" r="50"/>
                        <a:stretch>
                          <a:fillRect/>
                        </a:stretch>
                      </pic:blipFill>
                      <pic:spPr bwMode="auto">
                        <a:xfrm>
                          <a:off x="0" y="0"/>
                          <a:ext cx="2265045" cy="701675"/>
                        </a:xfrm>
                        <a:prstGeom prst="rect">
                          <a:avLst/>
                        </a:prstGeom>
                        <a:noFill/>
                        <a:ln>
                          <a:noFill/>
                        </a:ln>
                      </pic:spPr>
                    </pic:pic>
                  </a:graphicData>
                </a:graphic>
              </wp:inline>
            </w:drawing>
          </w:r>
        </w:p>
      </w:tc>
    </w:tr>
    <w:tr w:rsidR="00850729" w:rsidRPr="00E12E4B" w:rsidTr="00E12E4B">
      <w:trPr>
        <w:trHeight w:val="109"/>
      </w:trPr>
      <w:tc>
        <w:tcPr>
          <w:tcW w:w="5529" w:type="dxa"/>
          <w:shd w:val="clear" w:color="auto" w:fill="1498BF"/>
          <w:hideMark/>
        </w:tcPr>
        <w:p w:rsidR="00850729" w:rsidRPr="00E12E4B" w:rsidRDefault="00F25101">
          <w:pPr>
            <w:pStyle w:val="Header"/>
            <w:jc w:val="center"/>
            <w:rPr>
              <w:color w:val="FFFFFF" w:themeColor="background1"/>
            </w:rPr>
          </w:pPr>
          <w:r>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EU-</w:t>
          </w:r>
          <w:proofErr w:type="spellStart"/>
          <w:r>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CoE</w:t>
          </w:r>
          <w:proofErr w:type="spellEnd"/>
          <w:r>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 xml:space="preserve"> </w:t>
          </w:r>
          <w:r w:rsidR="00E12E4B" w:rsidRPr="00E12E4B">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HELP in the EU Project</w:t>
          </w:r>
        </w:p>
      </w:tc>
      <w:tc>
        <w:tcPr>
          <w:tcW w:w="4536" w:type="dxa"/>
          <w:vMerge/>
          <w:shd w:val="clear" w:color="auto" w:fill="1498BF"/>
          <w:vAlign w:val="center"/>
          <w:hideMark/>
        </w:tcPr>
        <w:p w:rsidR="00850729" w:rsidRPr="00E12E4B" w:rsidRDefault="00850729">
          <w:pPr>
            <w:rPr>
              <w:color w:val="FFFFFF" w:themeColor="background1"/>
            </w:rPr>
          </w:pPr>
        </w:p>
      </w:tc>
    </w:tr>
  </w:tbl>
  <w:p w:rsidR="00850729" w:rsidRPr="00E12E4B" w:rsidRDefault="00850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32119"/>
    <w:multiLevelType w:val="hybridMultilevel"/>
    <w:tmpl w:val="C9F0A23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465A5"/>
    <w:multiLevelType w:val="hybridMultilevel"/>
    <w:tmpl w:val="778CBA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504E4"/>
    <w:multiLevelType w:val="hybridMultilevel"/>
    <w:tmpl w:val="AE6C1214"/>
    <w:lvl w:ilvl="0" w:tplc="111498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2D7F22"/>
    <w:multiLevelType w:val="hybridMultilevel"/>
    <w:tmpl w:val="19DEA3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03010"/>
    <w:multiLevelType w:val="hybridMultilevel"/>
    <w:tmpl w:val="34726E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7B3AED"/>
    <w:multiLevelType w:val="hybridMultilevel"/>
    <w:tmpl w:val="AD88B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D255EC"/>
    <w:multiLevelType w:val="hybridMultilevel"/>
    <w:tmpl w:val="4052EB36"/>
    <w:lvl w:ilvl="0" w:tplc="56288CF6">
      <w:start w:val="1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55626"/>
    <w:multiLevelType w:val="hybridMultilevel"/>
    <w:tmpl w:val="5B483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102D4F"/>
    <w:multiLevelType w:val="hybridMultilevel"/>
    <w:tmpl w:val="F8F68E3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2AE6FF32" w:tentative="1">
      <w:start w:val="1"/>
      <w:numFmt w:val="bullet"/>
      <w:lvlText w:val="–"/>
      <w:lvlJc w:val="left"/>
      <w:pPr>
        <w:tabs>
          <w:tab w:val="num" w:pos="2160"/>
        </w:tabs>
        <w:ind w:left="2160" w:hanging="360"/>
      </w:pPr>
      <w:rPr>
        <w:rFonts w:ascii="Arial" w:hAnsi="Arial" w:hint="default"/>
      </w:rPr>
    </w:lvl>
    <w:lvl w:ilvl="3" w:tplc="E41EF76E" w:tentative="1">
      <w:start w:val="1"/>
      <w:numFmt w:val="bullet"/>
      <w:lvlText w:val="–"/>
      <w:lvlJc w:val="left"/>
      <w:pPr>
        <w:tabs>
          <w:tab w:val="num" w:pos="2880"/>
        </w:tabs>
        <w:ind w:left="2880" w:hanging="360"/>
      </w:pPr>
      <w:rPr>
        <w:rFonts w:ascii="Arial" w:hAnsi="Arial" w:hint="default"/>
      </w:rPr>
    </w:lvl>
    <w:lvl w:ilvl="4" w:tplc="F5ECFBAC" w:tentative="1">
      <w:start w:val="1"/>
      <w:numFmt w:val="bullet"/>
      <w:lvlText w:val="–"/>
      <w:lvlJc w:val="left"/>
      <w:pPr>
        <w:tabs>
          <w:tab w:val="num" w:pos="3600"/>
        </w:tabs>
        <w:ind w:left="3600" w:hanging="360"/>
      </w:pPr>
      <w:rPr>
        <w:rFonts w:ascii="Arial" w:hAnsi="Arial" w:hint="default"/>
      </w:rPr>
    </w:lvl>
    <w:lvl w:ilvl="5" w:tplc="A38CD272" w:tentative="1">
      <w:start w:val="1"/>
      <w:numFmt w:val="bullet"/>
      <w:lvlText w:val="–"/>
      <w:lvlJc w:val="left"/>
      <w:pPr>
        <w:tabs>
          <w:tab w:val="num" w:pos="4320"/>
        </w:tabs>
        <w:ind w:left="4320" w:hanging="360"/>
      </w:pPr>
      <w:rPr>
        <w:rFonts w:ascii="Arial" w:hAnsi="Arial" w:hint="default"/>
      </w:rPr>
    </w:lvl>
    <w:lvl w:ilvl="6" w:tplc="20560038" w:tentative="1">
      <w:start w:val="1"/>
      <w:numFmt w:val="bullet"/>
      <w:lvlText w:val="–"/>
      <w:lvlJc w:val="left"/>
      <w:pPr>
        <w:tabs>
          <w:tab w:val="num" w:pos="5040"/>
        </w:tabs>
        <w:ind w:left="5040" w:hanging="360"/>
      </w:pPr>
      <w:rPr>
        <w:rFonts w:ascii="Arial" w:hAnsi="Arial" w:hint="default"/>
      </w:rPr>
    </w:lvl>
    <w:lvl w:ilvl="7" w:tplc="A874188C" w:tentative="1">
      <w:start w:val="1"/>
      <w:numFmt w:val="bullet"/>
      <w:lvlText w:val="–"/>
      <w:lvlJc w:val="left"/>
      <w:pPr>
        <w:tabs>
          <w:tab w:val="num" w:pos="5760"/>
        </w:tabs>
        <w:ind w:left="5760" w:hanging="360"/>
      </w:pPr>
      <w:rPr>
        <w:rFonts w:ascii="Arial" w:hAnsi="Arial" w:hint="default"/>
      </w:rPr>
    </w:lvl>
    <w:lvl w:ilvl="8" w:tplc="01A8FA8E" w:tentative="1">
      <w:start w:val="1"/>
      <w:numFmt w:val="bullet"/>
      <w:lvlText w:val="–"/>
      <w:lvlJc w:val="left"/>
      <w:pPr>
        <w:tabs>
          <w:tab w:val="num" w:pos="6480"/>
        </w:tabs>
        <w:ind w:left="6480" w:hanging="360"/>
      </w:pPr>
      <w:rPr>
        <w:rFonts w:ascii="Arial" w:hAnsi="Arial" w:hint="default"/>
      </w:rPr>
    </w:lvl>
  </w:abstractNum>
  <w:abstractNum w:abstractNumId="9">
    <w:nsid w:val="58BC68D7"/>
    <w:multiLevelType w:val="hybridMultilevel"/>
    <w:tmpl w:val="8068A5EC"/>
    <w:lvl w:ilvl="0" w:tplc="3C387972">
      <w:start w:val="4"/>
      <w:numFmt w:val="decimal"/>
      <w:lvlText w:val="%1."/>
      <w:lvlJc w:val="left"/>
      <w:pPr>
        <w:ind w:left="1440" w:hanging="360"/>
      </w:pPr>
      <w:rPr>
        <w:rFonts w:hint="default"/>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1F39FC"/>
    <w:multiLevelType w:val="hybridMultilevel"/>
    <w:tmpl w:val="8D488CB2"/>
    <w:lvl w:ilvl="0" w:tplc="0409000D">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5D5864"/>
    <w:multiLevelType w:val="hybridMultilevel"/>
    <w:tmpl w:val="6EE27766"/>
    <w:lvl w:ilvl="0" w:tplc="7C6E2554">
      <w:start w:val="16"/>
      <w:numFmt w:val="bullet"/>
      <w:lvlText w:val="-"/>
      <w:lvlJc w:val="left"/>
      <w:pPr>
        <w:ind w:left="720" w:hanging="360"/>
      </w:pPr>
      <w:rPr>
        <w:rFonts w:ascii="Corbel" w:eastAsiaTheme="minorHAnsi" w:hAnsi="Corbe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A1D68"/>
    <w:multiLevelType w:val="hybridMultilevel"/>
    <w:tmpl w:val="B3069B98"/>
    <w:lvl w:ilvl="0" w:tplc="0409000D">
      <w:start w:val="1"/>
      <w:numFmt w:val="bullet"/>
      <w:lvlText w:val=""/>
      <w:lvlJc w:val="left"/>
      <w:pPr>
        <w:tabs>
          <w:tab w:val="num" w:pos="1440"/>
        </w:tabs>
        <w:ind w:left="1440" w:hanging="360"/>
      </w:pPr>
      <w:rPr>
        <w:rFonts w:ascii="Wingdings" w:hAnsi="Wingdings" w:hint="default"/>
      </w:rPr>
    </w:lvl>
    <w:lvl w:ilvl="1" w:tplc="40E6240C" w:tentative="1">
      <w:start w:val="1"/>
      <w:numFmt w:val="bullet"/>
      <w:lvlText w:val="•"/>
      <w:lvlJc w:val="left"/>
      <w:pPr>
        <w:tabs>
          <w:tab w:val="num" w:pos="2160"/>
        </w:tabs>
        <w:ind w:left="2160" w:hanging="360"/>
      </w:pPr>
      <w:rPr>
        <w:rFonts w:ascii="Arial" w:hAnsi="Arial" w:hint="default"/>
      </w:rPr>
    </w:lvl>
    <w:lvl w:ilvl="2" w:tplc="21647B30" w:tentative="1">
      <w:start w:val="1"/>
      <w:numFmt w:val="bullet"/>
      <w:lvlText w:val="•"/>
      <w:lvlJc w:val="left"/>
      <w:pPr>
        <w:tabs>
          <w:tab w:val="num" w:pos="2880"/>
        </w:tabs>
        <w:ind w:left="2880" w:hanging="360"/>
      </w:pPr>
      <w:rPr>
        <w:rFonts w:ascii="Arial" w:hAnsi="Arial" w:hint="default"/>
      </w:rPr>
    </w:lvl>
    <w:lvl w:ilvl="3" w:tplc="58FC360A" w:tentative="1">
      <w:start w:val="1"/>
      <w:numFmt w:val="bullet"/>
      <w:lvlText w:val="•"/>
      <w:lvlJc w:val="left"/>
      <w:pPr>
        <w:tabs>
          <w:tab w:val="num" w:pos="3600"/>
        </w:tabs>
        <w:ind w:left="3600" w:hanging="360"/>
      </w:pPr>
      <w:rPr>
        <w:rFonts w:ascii="Arial" w:hAnsi="Arial" w:hint="default"/>
      </w:rPr>
    </w:lvl>
    <w:lvl w:ilvl="4" w:tplc="95A44BE4" w:tentative="1">
      <w:start w:val="1"/>
      <w:numFmt w:val="bullet"/>
      <w:lvlText w:val="•"/>
      <w:lvlJc w:val="left"/>
      <w:pPr>
        <w:tabs>
          <w:tab w:val="num" w:pos="4320"/>
        </w:tabs>
        <w:ind w:left="4320" w:hanging="360"/>
      </w:pPr>
      <w:rPr>
        <w:rFonts w:ascii="Arial" w:hAnsi="Arial" w:hint="default"/>
      </w:rPr>
    </w:lvl>
    <w:lvl w:ilvl="5" w:tplc="F0D25030" w:tentative="1">
      <w:start w:val="1"/>
      <w:numFmt w:val="bullet"/>
      <w:lvlText w:val="•"/>
      <w:lvlJc w:val="left"/>
      <w:pPr>
        <w:tabs>
          <w:tab w:val="num" w:pos="5040"/>
        </w:tabs>
        <w:ind w:left="5040" w:hanging="360"/>
      </w:pPr>
      <w:rPr>
        <w:rFonts w:ascii="Arial" w:hAnsi="Arial" w:hint="default"/>
      </w:rPr>
    </w:lvl>
    <w:lvl w:ilvl="6" w:tplc="C2221BDE" w:tentative="1">
      <w:start w:val="1"/>
      <w:numFmt w:val="bullet"/>
      <w:lvlText w:val="•"/>
      <w:lvlJc w:val="left"/>
      <w:pPr>
        <w:tabs>
          <w:tab w:val="num" w:pos="5760"/>
        </w:tabs>
        <w:ind w:left="5760" w:hanging="360"/>
      </w:pPr>
      <w:rPr>
        <w:rFonts w:ascii="Arial" w:hAnsi="Arial" w:hint="default"/>
      </w:rPr>
    </w:lvl>
    <w:lvl w:ilvl="7" w:tplc="6AFA5838" w:tentative="1">
      <w:start w:val="1"/>
      <w:numFmt w:val="bullet"/>
      <w:lvlText w:val="•"/>
      <w:lvlJc w:val="left"/>
      <w:pPr>
        <w:tabs>
          <w:tab w:val="num" w:pos="6480"/>
        </w:tabs>
        <w:ind w:left="6480" w:hanging="360"/>
      </w:pPr>
      <w:rPr>
        <w:rFonts w:ascii="Arial" w:hAnsi="Arial" w:hint="default"/>
      </w:rPr>
    </w:lvl>
    <w:lvl w:ilvl="8" w:tplc="F44E0AF2" w:tentative="1">
      <w:start w:val="1"/>
      <w:numFmt w:val="bullet"/>
      <w:lvlText w:val="•"/>
      <w:lvlJc w:val="left"/>
      <w:pPr>
        <w:tabs>
          <w:tab w:val="num" w:pos="7200"/>
        </w:tabs>
        <w:ind w:left="7200" w:hanging="360"/>
      </w:pPr>
      <w:rPr>
        <w:rFonts w:ascii="Arial" w:hAnsi="Arial" w:hint="default"/>
      </w:rPr>
    </w:lvl>
  </w:abstractNum>
  <w:abstractNum w:abstractNumId="13">
    <w:nsid w:val="7B996796"/>
    <w:multiLevelType w:val="hybridMultilevel"/>
    <w:tmpl w:val="F7E0F812"/>
    <w:lvl w:ilvl="0" w:tplc="63EAA7A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11"/>
  </w:num>
  <w:num w:numId="5">
    <w:abstractNumId w:val="6"/>
  </w:num>
  <w:num w:numId="6">
    <w:abstractNumId w:val="4"/>
  </w:num>
  <w:num w:numId="7">
    <w:abstractNumId w:val="8"/>
  </w:num>
  <w:num w:numId="8">
    <w:abstractNumId w:val="0"/>
  </w:num>
  <w:num w:numId="9">
    <w:abstractNumId w:val="12"/>
  </w:num>
  <w:num w:numId="10">
    <w:abstractNumId w:val="10"/>
  </w:num>
  <w:num w:numId="11">
    <w:abstractNumId w:val="3"/>
  </w:num>
  <w:num w:numId="12">
    <w:abstractNumId w:val="1"/>
  </w:num>
  <w:num w:numId="13">
    <w:abstractNumId w:val="13"/>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xandra Stan">
    <w15:presenceInfo w15:providerId="AD" w15:userId="S-1-5-21-1941051792-3712460549-796741572-6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29"/>
    <w:rsid w:val="00016280"/>
    <w:rsid w:val="0003686D"/>
    <w:rsid w:val="00041E77"/>
    <w:rsid w:val="00042FF2"/>
    <w:rsid w:val="00060C2F"/>
    <w:rsid w:val="0008393C"/>
    <w:rsid w:val="000916CB"/>
    <w:rsid w:val="000E62ED"/>
    <w:rsid w:val="000F4491"/>
    <w:rsid w:val="00112D3D"/>
    <w:rsid w:val="00130458"/>
    <w:rsid w:val="001315AE"/>
    <w:rsid w:val="00166618"/>
    <w:rsid w:val="0019642F"/>
    <w:rsid w:val="001A214D"/>
    <w:rsid w:val="001A7725"/>
    <w:rsid w:val="001B1794"/>
    <w:rsid w:val="001B4E99"/>
    <w:rsid w:val="001B5D18"/>
    <w:rsid w:val="001C4BBA"/>
    <w:rsid w:val="001D1010"/>
    <w:rsid w:val="001F0270"/>
    <w:rsid w:val="00206D3F"/>
    <w:rsid w:val="0023127D"/>
    <w:rsid w:val="00262124"/>
    <w:rsid w:val="00267080"/>
    <w:rsid w:val="0029639E"/>
    <w:rsid w:val="002B0A8C"/>
    <w:rsid w:val="002B4760"/>
    <w:rsid w:val="002B58AB"/>
    <w:rsid w:val="002E3C4A"/>
    <w:rsid w:val="0030371C"/>
    <w:rsid w:val="00343CDC"/>
    <w:rsid w:val="00344F21"/>
    <w:rsid w:val="00363F82"/>
    <w:rsid w:val="003649A1"/>
    <w:rsid w:val="00377D6D"/>
    <w:rsid w:val="003C0E5B"/>
    <w:rsid w:val="00446CB1"/>
    <w:rsid w:val="00483C7B"/>
    <w:rsid w:val="004A6DBF"/>
    <w:rsid w:val="004C4342"/>
    <w:rsid w:val="004F376B"/>
    <w:rsid w:val="005034EB"/>
    <w:rsid w:val="00505D22"/>
    <w:rsid w:val="0052685E"/>
    <w:rsid w:val="00543B10"/>
    <w:rsid w:val="005602D1"/>
    <w:rsid w:val="00564BED"/>
    <w:rsid w:val="00574DCA"/>
    <w:rsid w:val="00575A44"/>
    <w:rsid w:val="00577CC9"/>
    <w:rsid w:val="00596CB9"/>
    <w:rsid w:val="00596F6C"/>
    <w:rsid w:val="005A2B08"/>
    <w:rsid w:val="005A331B"/>
    <w:rsid w:val="005A5FD8"/>
    <w:rsid w:val="005B06B2"/>
    <w:rsid w:val="005D0495"/>
    <w:rsid w:val="0061095F"/>
    <w:rsid w:val="00616B66"/>
    <w:rsid w:val="00630253"/>
    <w:rsid w:val="00645D6F"/>
    <w:rsid w:val="0065623C"/>
    <w:rsid w:val="00661830"/>
    <w:rsid w:val="006E06BE"/>
    <w:rsid w:val="006E0DBE"/>
    <w:rsid w:val="00716666"/>
    <w:rsid w:val="00727264"/>
    <w:rsid w:val="00743F70"/>
    <w:rsid w:val="00784C4F"/>
    <w:rsid w:val="007F12F4"/>
    <w:rsid w:val="007F55D9"/>
    <w:rsid w:val="00805427"/>
    <w:rsid w:val="00817B8D"/>
    <w:rsid w:val="00844D44"/>
    <w:rsid w:val="008465D7"/>
    <w:rsid w:val="00850729"/>
    <w:rsid w:val="008569B9"/>
    <w:rsid w:val="00860930"/>
    <w:rsid w:val="00883869"/>
    <w:rsid w:val="008918AB"/>
    <w:rsid w:val="008A6211"/>
    <w:rsid w:val="008B66C5"/>
    <w:rsid w:val="008D11AA"/>
    <w:rsid w:val="008D5867"/>
    <w:rsid w:val="00913A9F"/>
    <w:rsid w:val="00946F84"/>
    <w:rsid w:val="00951AC8"/>
    <w:rsid w:val="00952215"/>
    <w:rsid w:val="009547DA"/>
    <w:rsid w:val="009738EA"/>
    <w:rsid w:val="00976EEB"/>
    <w:rsid w:val="009875B0"/>
    <w:rsid w:val="009916AD"/>
    <w:rsid w:val="009951BB"/>
    <w:rsid w:val="009B4601"/>
    <w:rsid w:val="009C2637"/>
    <w:rsid w:val="009E1DEB"/>
    <w:rsid w:val="009E4DC4"/>
    <w:rsid w:val="00A266F5"/>
    <w:rsid w:val="00A51AC1"/>
    <w:rsid w:val="00A6006F"/>
    <w:rsid w:val="00A60EFD"/>
    <w:rsid w:val="00A94B42"/>
    <w:rsid w:val="00B01392"/>
    <w:rsid w:val="00B055B2"/>
    <w:rsid w:val="00B06B16"/>
    <w:rsid w:val="00B07751"/>
    <w:rsid w:val="00B36F9B"/>
    <w:rsid w:val="00B50457"/>
    <w:rsid w:val="00B57D44"/>
    <w:rsid w:val="00B65DDA"/>
    <w:rsid w:val="00B97D79"/>
    <w:rsid w:val="00BB1F81"/>
    <w:rsid w:val="00BF483C"/>
    <w:rsid w:val="00C358BD"/>
    <w:rsid w:val="00C50495"/>
    <w:rsid w:val="00C60366"/>
    <w:rsid w:val="00C620C0"/>
    <w:rsid w:val="00C66DF3"/>
    <w:rsid w:val="00CB321B"/>
    <w:rsid w:val="00CD0C80"/>
    <w:rsid w:val="00CD3666"/>
    <w:rsid w:val="00CE2F78"/>
    <w:rsid w:val="00CE7151"/>
    <w:rsid w:val="00CF7C41"/>
    <w:rsid w:val="00D04918"/>
    <w:rsid w:val="00D13F49"/>
    <w:rsid w:val="00D21A54"/>
    <w:rsid w:val="00D31EEB"/>
    <w:rsid w:val="00D374FA"/>
    <w:rsid w:val="00D4425E"/>
    <w:rsid w:val="00D8582A"/>
    <w:rsid w:val="00D93E1A"/>
    <w:rsid w:val="00DB04EA"/>
    <w:rsid w:val="00DB6971"/>
    <w:rsid w:val="00DE2574"/>
    <w:rsid w:val="00DE7B5D"/>
    <w:rsid w:val="00E061C4"/>
    <w:rsid w:val="00E07A86"/>
    <w:rsid w:val="00E11825"/>
    <w:rsid w:val="00E12E4B"/>
    <w:rsid w:val="00E36FE5"/>
    <w:rsid w:val="00E56D44"/>
    <w:rsid w:val="00E63442"/>
    <w:rsid w:val="00E935C7"/>
    <w:rsid w:val="00EA2074"/>
    <w:rsid w:val="00F017F1"/>
    <w:rsid w:val="00F1480A"/>
    <w:rsid w:val="00F25101"/>
    <w:rsid w:val="00F43AC3"/>
    <w:rsid w:val="00F56E66"/>
    <w:rsid w:val="00F75D64"/>
    <w:rsid w:val="00F94B20"/>
    <w:rsid w:val="00FA1BBA"/>
    <w:rsid w:val="00FA3C5E"/>
    <w:rsid w:val="00FB61CC"/>
    <w:rsid w:val="00FE354C"/>
    <w:rsid w:val="00FE6F95"/>
    <w:rsid w:val="00FF1A50"/>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729"/>
  </w:style>
  <w:style w:type="paragraph" w:styleId="Footer">
    <w:name w:val="footer"/>
    <w:basedOn w:val="Normal"/>
    <w:link w:val="FooterChar"/>
    <w:uiPriority w:val="99"/>
    <w:unhideWhenUsed/>
    <w:rsid w:val="0085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729"/>
  </w:style>
  <w:style w:type="paragraph" w:styleId="BalloonText">
    <w:name w:val="Balloon Text"/>
    <w:basedOn w:val="Normal"/>
    <w:link w:val="BalloonTextChar"/>
    <w:uiPriority w:val="99"/>
    <w:semiHidden/>
    <w:unhideWhenUsed/>
    <w:rsid w:val="00850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729"/>
    <w:rPr>
      <w:rFonts w:ascii="Tahoma" w:hAnsi="Tahoma" w:cs="Tahoma"/>
      <w:sz w:val="16"/>
      <w:szCs w:val="16"/>
    </w:rPr>
  </w:style>
  <w:style w:type="table" w:styleId="TableGrid">
    <w:name w:val="Table Grid"/>
    <w:basedOn w:val="TableNormal"/>
    <w:uiPriority w:val="59"/>
    <w:rsid w:val="008507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4E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034EB"/>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5034EB"/>
    <w:rPr>
      <w:sz w:val="20"/>
      <w:szCs w:val="20"/>
      <w:lang w:val="en-GB"/>
    </w:rPr>
  </w:style>
  <w:style w:type="character" w:styleId="FootnoteReference">
    <w:name w:val="footnote reference"/>
    <w:basedOn w:val="DefaultParagraphFont"/>
    <w:uiPriority w:val="99"/>
    <w:semiHidden/>
    <w:unhideWhenUsed/>
    <w:rsid w:val="005034EB"/>
    <w:rPr>
      <w:vertAlign w:val="superscript"/>
    </w:rPr>
  </w:style>
  <w:style w:type="character" w:styleId="Hyperlink">
    <w:name w:val="Hyperlink"/>
    <w:basedOn w:val="DefaultParagraphFont"/>
    <w:uiPriority w:val="99"/>
    <w:unhideWhenUsed/>
    <w:rsid w:val="005034EB"/>
    <w:rPr>
      <w:color w:val="0000FF" w:themeColor="hyperlink"/>
      <w:u w:val="single"/>
    </w:rPr>
  </w:style>
  <w:style w:type="paragraph" w:styleId="ListParagraph">
    <w:name w:val="List Paragraph"/>
    <w:basedOn w:val="Normal"/>
    <w:uiPriority w:val="34"/>
    <w:qFormat/>
    <w:rsid w:val="008D11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729"/>
  </w:style>
  <w:style w:type="paragraph" w:styleId="Footer">
    <w:name w:val="footer"/>
    <w:basedOn w:val="Normal"/>
    <w:link w:val="FooterChar"/>
    <w:uiPriority w:val="99"/>
    <w:unhideWhenUsed/>
    <w:rsid w:val="0085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729"/>
  </w:style>
  <w:style w:type="paragraph" w:styleId="BalloonText">
    <w:name w:val="Balloon Text"/>
    <w:basedOn w:val="Normal"/>
    <w:link w:val="BalloonTextChar"/>
    <w:uiPriority w:val="99"/>
    <w:semiHidden/>
    <w:unhideWhenUsed/>
    <w:rsid w:val="00850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729"/>
    <w:rPr>
      <w:rFonts w:ascii="Tahoma" w:hAnsi="Tahoma" w:cs="Tahoma"/>
      <w:sz w:val="16"/>
      <w:szCs w:val="16"/>
    </w:rPr>
  </w:style>
  <w:style w:type="table" w:styleId="TableGrid">
    <w:name w:val="Table Grid"/>
    <w:basedOn w:val="TableNormal"/>
    <w:uiPriority w:val="59"/>
    <w:rsid w:val="008507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4E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034EB"/>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5034EB"/>
    <w:rPr>
      <w:sz w:val="20"/>
      <w:szCs w:val="20"/>
      <w:lang w:val="en-GB"/>
    </w:rPr>
  </w:style>
  <w:style w:type="character" w:styleId="FootnoteReference">
    <w:name w:val="footnote reference"/>
    <w:basedOn w:val="DefaultParagraphFont"/>
    <w:uiPriority w:val="99"/>
    <w:semiHidden/>
    <w:unhideWhenUsed/>
    <w:rsid w:val="005034EB"/>
    <w:rPr>
      <w:vertAlign w:val="superscript"/>
    </w:rPr>
  </w:style>
  <w:style w:type="character" w:styleId="Hyperlink">
    <w:name w:val="Hyperlink"/>
    <w:basedOn w:val="DefaultParagraphFont"/>
    <w:uiPriority w:val="99"/>
    <w:unhideWhenUsed/>
    <w:rsid w:val="005034EB"/>
    <w:rPr>
      <w:color w:val="0000FF" w:themeColor="hyperlink"/>
      <w:u w:val="single"/>
    </w:rPr>
  </w:style>
  <w:style w:type="paragraph" w:styleId="ListParagraph">
    <w:name w:val="List Paragraph"/>
    <w:basedOn w:val="Normal"/>
    <w:uiPriority w:val="34"/>
    <w:qFormat/>
    <w:rsid w:val="008D1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e.int/en/web/help/hom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e.int/en/web/help/help-in-the-eu" TargetMode="External"/><Relationship Id="rId17" Type="http://schemas.openxmlformats.org/officeDocument/2006/relationships/hyperlink" Target="mailto:Konstantinos.VRATSIDAS@coe.int" TargetMode="External"/><Relationship Id="rId2" Type="http://schemas.openxmlformats.org/officeDocument/2006/relationships/numbering" Target="numbering.xml"/><Relationship Id="rId16" Type="http://schemas.openxmlformats.org/officeDocument/2006/relationships/hyperlink" Target="mailto:ana-maria.telbis@coe.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ruxandra.stan@inm-lex.ro" TargetMode="External"/><Relationship Id="rId10" Type="http://schemas.openxmlformats.org/officeDocument/2006/relationships/hyperlink" Target="https://www.coe.int/en/web/help/help-in-the-e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e.int/help" TargetMode="External"/><Relationship Id="rId14" Type="http://schemas.openxmlformats.org/officeDocument/2006/relationships/hyperlink" Target="http://help.elearning.ext.coe.int/login/signup.php"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6958C-0356-4D26-8FED-70294A88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1899</Words>
  <Characters>10828</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Council of Europe</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TELBIS Anna-Maria</dc:creator>
  <cp:lastModifiedBy>TELBIS Ana-Maria</cp:lastModifiedBy>
  <cp:revision>4</cp:revision>
  <cp:lastPrinted>2019-01-30T11:23:00Z</cp:lastPrinted>
  <dcterms:created xsi:type="dcterms:W3CDTF">2019-04-05T16:12:00Z</dcterms:created>
  <dcterms:modified xsi:type="dcterms:W3CDTF">2019-04-16T08:20:00Z</dcterms:modified>
</cp:coreProperties>
</file>