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18A" w:rsidRPr="00837505" w:rsidRDefault="0017118A" w:rsidP="0017118A">
      <w:pPr>
        <w:pStyle w:val="Default"/>
        <w:rPr>
          <w:sz w:val="22"/>
          <w:szCs w:val="22"/>
          <w:lang w:val="en-GB"/>
        </w:rPr>
      </w:pPr>
      <w:bookmarkStart w:id="0" w:name="_GoBack"/>
      <w:r w:rsidRPr="00837505">
        <w:rPr>
          <w:b/>
          <w:bCs/>
          <w:sz w:val="22"/>
          <w:szCs w:val="22"/>
          <w:lang w:val="en-GB"/>
        </w:rPr>
        <w:t xml:space="preserve">Guideline for Country Reports </w:t>
      </w:r>
      <w:r w:rsidR="002A6736" w:rsidRPr="00837505">
        <w:rPr>
          <w:b/>
          <w:bCs/>
          <w:sz w:val="22"/>
          <w:szCs w:val="22"/>
          <w:lang w:val="en-GB"/>
        </w:rPr>
        <w:t>and Presentation</w:t>
      </w:r>
      <w:r w:rsidR="00F931C3">
        <w:rPr>
          <w:b/>
          <w:bCs/>
          <w:sz w:val="22"/>
          <w:szCs w:val="22"/>
          <w:lang w:val="en-GB"/>
        </w:rPr>
        <w:t>s</w:t>
      </w:r>
    </w:p>
    <w:p w:rsidR="0017118A" w:rsidRPr="00837505" w:rsidRDefault="0017118A" w:rsidP="0017118A">
      <w:pPr>
        <w:pStyle w:val="Default"/>
        <w:rPr>
          <w:sz w:val="22"/>
          <w:szCs w:val="22"/>
          <w:lang w:val="en-GB"/>
        </w:rPr>
      </w:pPr>
    </w:p>
    <w:p w:rsidR="0017118A" w:rsidRPr="00837505" w:rsidRDefault="0017118A" w:rsidP="00E82730">
      <w:pPr>
        <w:pStyle w:val="Default"/>
        <w:numPr>
          <w:ilvl w:val="0"/>
          <w:numId w:val="2"/>
        </w:numPr>
        <w:ind w:left="0" w:firstLine="0"/>
        <w:rPr>
          <w:sz w:val="22"/>
          <w:szCs w:val="22"/>
          <w:lang w:val="en-GB"/>
        </w:rPr>
      </w:pPr>
      <w:r w:rsidRPr="00837505">
        <w:rPr>
          <w:sz w:val="22"/>
          <w:szCs w:val="22"/>
          <w:lang w:val="en-GB"/>
        </w:rPr>
        <w:t xml:space="preserve">In order to foster rich and instructive exchange, one participant from each country is requested </w:t>
      </w:r>
      <w:r w:rsidRPr="00837505">
        <w:rPr>
          <w:b/>
          <w:sz w:val="22"/>
          <w:szCs w:val="22"/>
          <w:lang w:val="en-GB"/>
        </w:rPr>
        <w:t>to prepare a country repor</w:t>
      </w:r>
      <w:r w:rsidRPr="00837505">
        <w:rPr>
          <w:sz w:val="22"/>
          <w:szCs w:val="22"/>
          <w:lang w:val="en-GB"/>
        </w:rPr>
        <w:t xml:space="preserve">t (one report per country), </w:t>
      </w:r>
      <w:r w:rsidRPr="00837505">
        <w:rPr>
          <w:b/>
          <w:sz w:val="22"/>
          <w:szCs w:val="22"/>
          <w:lang w:val="en-GB"/>
        </w:rPr>
        <w:t xml:space="preserve">responding to below questionnaire </w:t>
      </w:r>
      <w:r w:rsidRPr="00837505">
        <w:rPr>
          <w:sz w:val="22"/>
          <w:szCs w:val="22"/>
          <w:lang w:val="en-GB"/>
        </w:rPr>
        <w:t xml:space="preserve">on the state of intellectual property (IP) enforcement in their home country from the perspective of the judiciary. </w:t>
      </w:r>
    </w:p>
    <w:p w:rsidR="0017118A" w:rsidRPr="00837505" w:rsidRDefault="0017118A" w:rsidP="00E82730">
      <w:pPr>
        <w:pStyle w:val="Default"/>
        <w:rPr>
          <w:sz w:val="22"/>
          <w:szCs w:val="22"/>
          <w:lang w:val="en-GB"/>
        </w:rPr>
      </w:pPr>
    </w:p>
    <w:p w:rsidR="0017118A" w:rsidRPr="00837505" w:rsidRDefault="0017118A" w:rsidP="00E82730">
      <w:pPr>
        <w:pStyle w:val="Default"/>
        <w:rPr>
          <w:sz w:val="22"/>
          <w:szCs w:val="22"/>
          <w:lang w:val="en-GB"/>
        </w:rPr>
      </w:pPr>
      <w:r w:rsidRPr="00837505">
        <w:rPr>
          <w:sz w:val="22"/>
          <w:szCs w:val="22"/>
          <w:lang w:val="en-GB"/>
        </w:rPr>
        <w:t xml:space="preserve">The country report should cover copyright and related rights, trademarks, industrial designs and patents, and, where applicable, cite relevant legal provisions. </w:t>
      </w:r>
    </w:p>
    <w:p w:rsidR="002A6736" w:rsidRPr="00837505" w:rsidRDefault="002A6736" w:rsidP="00E82730">
      <w:pPr>
        <w:pStyle w:val="Default"/>
        <w:rPr>
          <w:sz w:val="22"/>
          <w:szCs w:val="22"/>
          <w:lang w:val="en-GB"/>
        </w:rPr>
      </w:pPr>
    </w:p>
    <w:p w:rsidR="0017118A" w:rsidRPr="00837505" w:rsidRDefault="002A6736" w:rsidP="00E82730">
      <w:pPr>
        <w:pStyle w:val="Default"/>
        <w:numPr>
          <w:ilvl w:val="0"/>
          <w:numId w:val="2"/>
        </w:numPr>
        <w:ind w:left="0" w:firstLine="0"/>
        <w:rPr>
          <w:sz w:val="22"/>
          <w:szCs w:val="22"/>
          <w:lang w:val="en-GB"/>
        </w:rPr>
      </w:pPr>
      <w:r w:rsidRPr="00837505">
        <w:rPr>
          <w:sz w:val="22"/>
          <w:szCs w:val="22"/>
          <w:lang w:val="en-GB"/>
        </w:rPr>
        <w:t xml:space="preserve">In addition, one participant from each country will be invited, to make </w:t>
      </w:r>
      <w:r w:rsidRPr="00837505">
        <w:rPr>
          <w:b/>
          <w:sz w:val="22"/>
          <w:szCs w:val="22"/>
          <w:lang w:val="en-GB"/>
        </w:rPr>
        <w:t xml:space="preserve">a short oral presentation of </w:t>
      </w:r>
      <w:r w:rsidRPr="00837505">
        <w:rPr>
          <w:b/>
          <w:sz w:val="22"/>
          <w:szCs w:val="22"/>
          <w:u w:val="single"/>
          <w:lang w:val="en-GB"/>
        </w:rPr>
        <w:t>maximum</w:t>
      </w:r>
      <w:r w:rsidRPr="00837505">
        <w:rPr>
          <w:b/>
          <w:sz w:val="22"/>
          <w:szCs w:val="22"/>
          <w:lang w:val="en-GB"/>
        </w:rPr>
        <w:t xml:space="preserve"> 10 minutes</w:t>
      </w:r>
      <w:r w:rsidRPr="00837505">
        <w:rPr>
          <w:sz w:val="22"/>
          <w:szCs w:val="22"/>
          <w:lang w:val="en-GB"/>
        </w:rPr>
        <w:t>, on November 3 under Topic 3 (“Country Reports – Roundtable Discussion”), on (</w:t>
      </w:r>
      <w:proofErr w:type="spellStart"/>
      <w:r w:rsidRPr="00837505">
        <w:rPr>
          <w:sz w:val="22"/>
          <w:szCs w:val="22"/>
          <w:lang w:val="en-GB"/>
        </w:rPr>
        <w:t>i</w:t>
      </w:r>
      <w:proofErr w:type="spellEnd"/>
      <w:r w:rsidRPr="00837505">
        <w:rPr>
          <w:sz w:val="22"/>
          <w:szCs w:val="22"/>
          <w:lang w:val="en-GB"/>
        </w:rPr>
        <w:t>) the applicable national legal framework pertaining to the enforcement of IP rights</w:t>
      </w:r>
      <w:r w:rsidR="00E84EB2" w:rsidRPr="00837505">
        <w:rPr>
          <w:sz w:val="22"/>
          <w:szCs w:val="22"/>
          <w:lang w:val="en-GB"/>
        </w:rPr>
        <w:t xml:space="preserve"> (</w:t>
      </w:r>
      <w:r w:rsidR="00E84EB2" w:rsidRPr="00837505">
        <w:rPr>
          <w:i/>
          <w:sz w:val="22"/>
          <w:szCs w:val="22"/>
          <w:lang w:val="en-GB"/>
        </w:rPr>
        <w:t>i.e</w:t>
      </w:r>
      <w:r w:rsidR="00E84EB2" w:rsidRPr="00837505">
        <w:rPr>
          <w:sz w:val="22"/>
          <w:szCs w:val="22"/>
          <w:lang w:val="en-GB"/>
        </w:rPr>
        <w:t>., not the whole legislation on IP, but only the relevant legal provisions on the enforcement of IP rights)</w:t>
      </w:r>
      <w:r w:rsidRPr="00837505">
        <w:rPr>
          <w:sz w:val="22"/>
          <w:szCs w:val="22"/>
          <w:lang w:val="en-GB"/>
        </w:rPr>
        <w:t xml:space="preserve">, </w:t>
      </w:r>
      <w:r w:rsidR="00FF5FC3" w:rsidRPr="00837505">
        <w:rPr>
          <w:sz w:val="22"/>
          <w:szCs w:val="22"/>
          <w:lang w:val="en-GB"/>
        </w:rPr>
        <w:t xml:space="preserve">(ii) </w:t>
      </w:r>
      <w:r w:rsidRPr="00837505">
        <w:rPr>
          <w:sz w:val="22"/>
          <w:szCs w:val="22"/>
          <w:lang w:val="en-GB"/>
        </w:rPr>
        <w:t>the available routes for IP infringement (questions 1 and 2 of the Questionnaire hereunder), and (iii) the practical challenges in the judicial enforcement of IP rights (question 17 of the Questionnaire hereunder).</w:t>
      </w:r>
      <w:r w:rsidRPr="00837505">
        <w:rPr>
          <w:lang w:val="en-GB"/>
        </w:rPr>
        <w:t xml:space="preserve"> </w:t>
      </w:r>
      <w:r w:rsidR="002C5333" w:rsidRPr="00837505">
        <w:rPr>
          <w:lang w:val="en-GB"/>
        </w:rPr>
        <w:t xml:space="preserve"> </w:t>
      </w:r>
      <w:r w:rsidR="00FF5FC3" w:rsidRPr="00837505">
        <w:rPr>
          <w:bCs/>
          <w:sz w:val="22"/>
          <w:szCs w:val="22"/>
          <w:lang w:val="en-GB"/>
        </w:rPr>
        <w:t xml:space="preserve">PowerPoint will preferably be used for the presentations. </w:t>
      </w:r>
    </w:p>
    <w:p w:rsidR="00FF5FC3" w:rsidRPr="00837505" w:rsidRDefault="00FF5FC3" w:rsidP="00E82730">
      <w:pPr>
        <w:pStyle w:val="Default"/>
        <w:rPr>
          <w:bCs/>
          <w:sz w:val="22"/>
          <w:szCs w:val="22"/>
          <w:lang w:val="en-GB"/>
        </w:rPr>
      </w:pPr>
    </w:p>
    <w:p w:rsidR="00FF5FC3" w:rsidRPr="00837505" w:rsidRDefault="00FF5FC3" w:rsidP="00E82730">
      <w:pPr>
        <w:pStyle w:val="Default"/>
        <w:numPr>
          <w:ilvl w:val="0"/>
          <w:numId w:val="2"/>
        </w:numPr>
        <w:ind w:left="0" w:firstLine="0"/>
        <w:rPr>
          <w:sz w:val="22"/>
          <w:szCs w:val="22"/>
          <w:lang w:val="en-GB"/>
        </w:rPr>
      </w:pPr>
      <w:r w:rsidRPr="00837505">
        <w:rPr>
          <w:sz w:val="22"/>
          <w:szCs w:val="22"/>
          <w:lang w:val="en-GB"/>
        </w:rPr>
        <w:t>The country reports</w:t>
      </w:r>
      <w:r w:rsidR="002C5333" w:rsidRPr="00837505">
        <w:rPr>
          <w:sz w:val="22"/>
          <w:szCs w:val="22"/>
          <w:lang w:val="en-GB"/>
        </w:rPr>
        <w:t>,</w:t>
      </w:r>
      <w:r w:rsidRPr="00837505">
        <w:rPr>
          <w:sz w:val="22"/>
          <w:szCs w:val="22"/>
          <w:lang w:val="en-GB"/>
        </w:rPr>
        <w:t xml:space="preserve"> and PowerPoint presentations </w:t>
      </w:r>
      <w:r w:rsidR="002C5333" w:rsidRPr="00837505">
        <w:rPr>
          <w:sz w:val="22"/>
          <w:szCs w:val="22"/>
          <w:lang w:val="en-GB"/>
        </w:rPr>
        <w:t xml:space="preserve">if any, </w:t>
      </w:r>
      <w:r w:rsidRPr="00837505">
        <w:rPr>
          <w:sz w:val="22"/>
          <w:szCs w:val="22"/>
          <w:lang w:val="en-GB"/>
        </w:rPr>
        <w:t xml:space="preserve">will be used </w:t>
      </w:r>
      <w:r w:rsidRPr="00837505">
        <w:rPr>
          <w:b/>
          <w:sz w:val="22"/>
          <w:szCs w:val="22"/>
          <w:lang w:val="en-GB"/>
        </w:rPr>
        <w:t xml:space="preserve">solely for the purposes of the Workshop and will be shared with all participants and speakers to the Workshop </w:t>
      </w:r>
      <w:r w:rsidRPr="00837505">
        <w:rPr>
          <w:sz w:val="22"/>
          <w:szCs w:val="22"/>
          <w:lang w:val="en-GB"/>
        </w:rPr>
        <w:t>(with the exception of the speakers representing right holders, to whom these documents will not be communicated)</w:t>
      </w:r>
      <w:r w:rsidRPr="00837505">
        <w:rPr>
          <w:b/>
          <w:sz w:val="22"/>
          <w:szCs w:val="22"/>
          <w:lang w:val="en-GB"/>
        </w:rPr>
        <w:t xml:space="preserve">, unless requested otherwise by the submitting participants. They will not be made otherwise publicly available. </w:t>
      </w:r>
      <w:r w:rsidRPr="00837505">
        <w:rPr>
          <w:sz w:val="22"/>
          <w:szCs w:val="22"/>
          <w:lang w:val="en-GB"/>
        </w:rPr>
        <w:t xml:space="preserve">They will also provide the background for the discussions, questions and answers relating to the topics of the program of the Workshop. </w:t>
      </w:r>
    </w:p>
    <w:p w:rsidR="0017118A" w:rsidRPr="00837505" w:rsidRDefault="0017118A" w:rsidP="00E82730">
      <w:pPr>
        <w:pStyle w:val="Default"/>
        <w:rPr>
          <w:sz w:val="22"/>
          <w:szCs w:val="22"/>
          <w:lang w:val="en-GB"/>
        </w:rPr>
      </w:pPr>
    </w:p>
    <w:p w:rsidR="00FF5FC3" w:rsidRPr="00837505" w:rsidRDefault="00FF5FC3" w:rsidP="00E82730">
      <w:pPr>
        <w:pStyle w:val="Default"/>
        <w:numPr>
          <w:ilvl w:val="0"/>
          <w:numId w:val="2"/>
        </w:numPr>
        <w:ind w:left="0" w:firstLine="0"/>
        <w:rPr>
          <w:sz w:val="22"/>
          <w:szCs w:val="22"/>
          <w:lang w:val="en-GB"/>
        </w:rPr>
      </w:pPr>
      <w:r w:rsidRPr="00837505">
        <w:rPr>
          <w:sz w:val="22"/>
          <w:szCs w:val="22"/>
          <w:lang w:val="en-GB"/>
        </w:rPr>
        <w:t xml:space="preserve">Please submit your country report and your PowerPoint presentation </w:t>
      </w:r>
      <w:r w:rsidRPr="00837505">
        <w:rPr>
          <w:b/>
          <w:sz w:val="22"/>
          <w:szCs w:val="22"/>
          <w:lang w:val="en-GB"/>
        </w:rPr>
        <w:t>to WIPO by October 25, 2016, by e-mail to enforcement@wipo.int</w:t>
      </w:r>
      <w:r w:rsidRPr="00837505">
        <w:rPr>
          <w:sz w:val="22"/>
          <w:szCs w:val="22"/>
          <w:lang w:val="en-GB"/>
        </w:rPr>
        <w:t xml:space="preserve">. </w:t>
      </w:r>
      <w:r w:rsidR="002C5333" w:rsidRPr="00837505">
        <w:rPr>
          <w:sz w:val="22"/>
          <w:szCs w:val="22"/>
          <w:lang w:val="en-GB"/>
        </w:rPr>
        <w:t xml:space="preserve"> </w:t>
      </w:r>
      <w:r w:rsidRPr="00837505">
        <w:rPr>
          <w:sz w:val="22"/>
          <w:szCs w:val="22"/>
          <w:lang w:val="en-GB"/>
        </w:rPr>
        <w:t xml:space="preserve">In order to facilitate the discussion, the country report and presentation should be in English. Any queries in relation to the country reports and/or presentations may be addressed to Mr. Xavier Vermandele, Senior Legal Counsellor, Building Respect for IP Division (by email at xavier.vermandele@wipo.int or by telephone at +41 22 338 72 66) or Mr. </w:t>
      </w:r>
      <w:proofErr w:type="spellStart"/>
      <w:r w:rsidRPr="00837505">
        <w:rPr>
          <w:sz w:val="22"/>
          <w:szCs w:val="22"/>
          <w:lang w:val="en-GB"/>
        </w:rPr>
        <w:t>Samer</w:t>
      </w:r>
      <w:proofErr w:type="spellEnd"/>
      <w:r w:rsidRPr="00837505">
        <w:rPr>
          <w:sz w:val="22"/>
          <w:szCs w:val="22"/>
          <w:lang w:val="en-GB"/>
        </w:rPr>
        <w:t xml:space="preserve"> Al </w:t>
      </w:r>
      <w:proofErr w:type="spellStart"/>
      <w:r w:rsidRPr="00837505">
        <w:rPr>
          <w:sz w:val="22"/>
          <w:szCs w:val="22"/>
          <w:lang w:val="en-GB"/>
        </w:rPr>
        <w:t>Tarawneh</w:t>
      </w:r>
      <w:proofErr w:type="spellEnd"/>
      <w:r w:rsidRPr="00837505">
        <w:rPr>
          <w:sz w:val="22"/>
          <w:szCs w:val="22"/>
          <w:lang w:val="en-GB"/>
        </w:rPr>
        <w:t xml:space="preserve">, Legal Officer, Building Respect for IP Division (by email at samer.altarawneh@wipo.int or by telephone at +41 22 338 99 85). </w:t>
      </w:r>
    </w:p>
    <w:p w:rsidR="0017118A" w:rsidRPr="00837505" w:rsidRDefault="0017118A" w:rsidP="0017118A">
      <w:pPr>
        <w:pStyle w:val="Default"/>
        <w:rPr>
          <w:sz w:val="22"/>
          <w:szCs w:val="22"/>
          <w:lang w:val="en-GB"/>
        </w:rPr>
      </w:pPr>
    </w:p>
    <w:p w:rsidR="002A6736" w:rsidRPr="00837505" w:rsidRDefault="002A6736" w:rsidP="0017118A">
      <w:pPr>
        <w:pStyle w:val="Default"/>
        <w:rPr>
          <w:b/>
          <w:bCs/>
          <w:sz w:val="22"/>
          <w:szCs w:val="22"/>
          <w:lang w:val="en-GB"/>
        </w:rPr>
      </w:pPr>
    </w:p>
    <w:p w:rsidR="002C5333" w:rsidRPr="00837505" w:rsidRDefault="002C5333" w:rsidP="002C5333">
      <w:pPr>
        <w:pStyle w:val="Default"/>
        <w:jc w:val="center"/>
        <w:rPr>
          <w:b/>
          <w:bCs/>
          <w:i/>
          <w:sz w:val="22"/>
          <w:szCs w:val="22"/>
          <w:u w:val="single"/>
          <w:lang w:val="en-GB"/>
        </w:rPr>
      </w:pPr>
      <w:r w:rsidRPr="00837505">
        <w:rPr>
          <w:b/>
          <w:bCs/>
          <w:i/>
          <w:sz w:val="22"/>
          <w:szCs w:val="22"/>
          <w:u w:val="single"/>
          <w:lang w:val="en-GB"/>
        </w:rPr>
        <w:t>Questionnaire</w:t>
      </w:r>
    </w:p>
    <w:p w:rsidR="002C5333" w:rsidRPr="00837505" w:rsidRDefault="002C5333" w:rsidP="0017118A">
      <w:pPr>
        <w:pStyle w:val="Default"/>
        <w:rPr>
          <w:b/>
          <w:bCs/>
          <w:sz w:val="22"/>
          <w:szCs w:val="22"/>
          <w:lang w:val="en-GB"/>
        </w:rPr>
      </w:pPr>
    </w:p>
    <w:p w:rsidR="0017118A" w:rsidRPr="00837505" w:rsidRDefault="0017118A" w:rsidP="0017118A">
      <w:pPr>
        <w:pStyle w:val="Default"/>
        <w:rPr>
          <w:b/>
          <w:bCs/>
          <w:sz w:val="22"/>
          <w:szCs w:val="22"/>
          <w:lang w:val="en-GB"/>
        </w:rPr>
      </w:pPr>
      <w:r w:rsidRPr="00837505">
        <w:rPr>
          <w:b/>
          <w:bCs/>
          <w:sz w:val="22"/>
          <w:szCs w:val="22"/>
          <w:lang w:val="en-GB"/>
        </w:rPr>
        <w:lastRenderedPageBreak/>
        <w:t xml:space="preserve">Available Routes for IP Infringement – Civil, Criminal and Administrative Courts </w:t>
      </w:r>
    </w:p>
    <w:p w:rsidR="002C5333" w:rsidRPr="00837505" w:rsidRDefault="002C5333" w:rsidP="0017118A">
      <w:pPr>
        <w:pStyle w:val="Default"/>
        <w:rPr>
          <w:sz w:val="22"/>
          <w:szCs w:val="22"/>
          <w:lang w:val="en-GB"/>
        </w:rPr>
      </w:pPr>
    </w:p>
    <w:p w:rsidR="0017118A" w:rsidRPr="00837505" w:rsidRDefault="0017118A" w:rsidP="00E82730">
      <w:pPr>
        <w:pStyle w:val="Default"/>
        <w:numPr>
          <w:ilvl w:val="0"/>
          <w:numId w:val="3"/>
        </w:numPr>
        <w:ind w:left="0" w:firstLine="0"/>
        <w:rPr>
          <w:sz w:val="22"/>
          <w:szCs w:val="22"/>
          <w:lang w:val="en-GB"/>
        </w:rPr>
      </w:pPr>
      <w:r w:rsidRPr="00837505">
        <w:rPr>
          <w:sz w:val="22"/>
          <w:szCs w:val="22"/>
          <w:lang w:val="en-GB"/>
        </w:rPr>
        <w:t xml:space="preserve">Which courts have jurisdiction over infringement of IP rights? Are there specialized IP courts or a specialized IP judiciary? Please describe the hierarchy of courts, for purposes of appeals, with regard to IP infringement cases. </w:t>
      </w:r>
    </w:p>
    <w:p w:rsidR="0017118A" w:rsidRPr="00837505" w:rsidRDefault="0017118A" w:rsidP="0017118A">
      <w:pPr>
        <w:pStyle w:val="Default"/>
        <w:rPr>
          <w:sz w:val="22"/>
          <w:szCs w:val="22"/>
          <w:lang w:val="en-GB"/>
        </w:rPr>
      </w:pPr>
    </w:p>
    <w:p w:rsidR="0017118A" w:rsidRPr="00837505" w:rsidRDefault="0017118A" w:rsidP="00E82730">
      <w:pPr>
        <w:pStyle w:val="Default"/>
        <w:numPr>
          <w:ilvl w:val="0"/>
          <w:numId w:val="3"/>
        </w:numPr>
        <w:ind w:left="0" w:firstLine="0"/>
        <w:rPr>
          <w:sz w:val="22"/>
          <w:szCs w:val="22"/>
          <w:lang w:val="en-GB"/>
        </w:rPr>
      </w:pPr>
      <w:r w:rsidRPr="00837505">
        <w:rPr>
          <w:sz w:val="22"/>
          <w:szCs w:val="22"/>
          <w:lang w:val="en-GB"/>
        </w:rPr>
        <w:t xml:space="preserve">What is the average period that elapses between the commencement of proceedings on the merits of a case and the delivery of the judgment or decision of the court? </w:t>
      </w:r>
    </w:p>
    <w:p w:rsidR="0017118A" w:rsidRPr="00837505" w:rsidRDefault="0017118A" w:rsidP="0017118A">
      <w:pPr>
        <w:pStyle w:val="Default"/>
        <w:rPr>
          <w:sz w:val="22"/>
          <w:szCs w:val="22"/>
          <w:lang w:val="en-GB"/>
        </w:rPr>
      </w:pPr>
    </w:p>
    <w:p w:rsidR="00E82730" w:rsidRPr="00837505" w:rsidRDefault="00E82730" w:rsidP="0017118A">
      <w:pPr>
        <w:pStyle w:val="Default"/>
        <w:rPr>
          <w:sz w:val="22"/>
          <w:szCs w:val="22"/>
          <w:lang w:val="en-GB"/>
        </w:rPr>
      </w:pPr>
    </w:p>
    <w:p w:rsidR="00E82730" w:rsidRPr="00837505" w:rsidRDefault="00E82730" w:rsidP="0017118A">
      <w:pPr>
        <w:pStyle w:val="Default"/>
        <w:rPr>
          <w:sz w:val="22"/>
          <w:szCs w:val="22"/>
          <w:lang w:val="en-GB"/>
        </w:rPr>
      </w:pPr>
    </w:p>
    <w:p w:rsidR="00E82730" w:rsidRPr="00837505" w:rsidRDefault="00E82730" w:rsidP="0017118A">
      <w:pPr>
        <w:pStyle w:val="Default"/>
        <w:rPr>
          <w:sz w:val="22"/>
          <w:szCs w:val="22"/>
          <w:lang w:val="en-GB"/>
        </w:rPr>
      </w:pPr>
    </w:p>
    <w:p w:rsidR="00E82730" w:rsidRPr="00837505" w:rsidRDefault="00E82730" w:rsidP="0017118A">
      <w:pPr>
        <w:pStyle w:val="Default"/>
        <w:rPr>
          <w:sz w:val="22"/>
          <w:szCs w:val="22"/>
          <w:lang w:val="en-GB"/>
        </w:rPr>
      </w:pPr>
    </w:p>
    <w:p w:rsidR="0017118A" w:rsidRPr="00837505" w:rsidRDefault="0017118A" w:rsidP="0017118A">
      <w:pPr>
        <w:pStyle w:val="Default"/>
        <w:rPr>
          <w:sz w:val="22"/>
          <w:szCs w:val="22"/>
          <w:lang w:val="en-GB"/>
        </w:rPr>
      </w:pPr>
      <w:r w:rsidRPr="00837505">
        <w:rPr>
          <w:b/>
          <w:bCs/>
          <w:sz w:val="22"/>
          <w:szCs w:val="22"/>
          <w:lang w:val="en-GB"/>
        </w:rPr>
        <w:t xml:space="preserve">Civil Procedure and Remedies </w:t>
      </w:r>
    </w:p>
    <w:p w:rsidR="0017118A" w:rsidRPr="00837505" w:rsidRDefault="0017118A" w:rsidP="00E82730">
      <w:pPr>
        <w:pStyle w:val="Default"/>
        <w:rPr>
          <w:i/>
          <w:iCs/>
          <w:sz w:val="22"/>
          <w:szCs w:val="22"/>
          <w:lang w:val="en-GB"/>
        </w:rPr>
      </w:pPr>
      <w:r w:rsidRPr="00837505">
        <w:rPr>
          <w:sz w:val="22"/>
          <w:szCs w:val="22"/>
          <w:lang w:val="en-GB"/>
        </w:rPr>
        <w:t xml:space="preserve">(Ref. TRIPS Agreement, Articles 42 – 49) </w:t>
      </w:r>
      <w:r w:rsidRPr="00837505">
        <w:rPr>
          <w:i/>
          <w:iCs/>
          <w:sz w:val="22"/>
          <w:szCs w:val="22"/>
          <w:lang w:val="en-GB"/>
        </w:rPr>
        <w:t xml:space="preserve">Evidence </w:t>
      </w:r>
    </w:p>
    <w:p w:rsidR="002C5333" w:rsidRPr="00837505" w:rsidRDefault="002C5333" w:rsidP="0017118A">
      <w:pPr>
        <w:pStyle w:val="Default"/>
        <w:rPr>
          <w:sz w:val="22"/>
          <w:szCs w:val="22"/>
          <w:lang w:val="en-GB"/>
        </w:rPr>
      </w:pPr>
    </w:p>
    <w:p w:rsidR="0017118A" w:rsidRPr="00837505" w:rsidRDefault="0017118A" w:rsidP="00E82730">
      <w:pPr>
        <w:pStyle w:val="Default"/>
        <w:numPr>
          <w:ilvl w:val="0"/>
          <w:numId w:val="3"/>
        </w:numPr>
        <w:ind w:left="0" w:firstLine="0"/>
        <w:rPr>
          <w:sz w:val="22"/>
          <w:szCs w:val="22"/>
          <w:lang w:val="en-GB"/>
        </w:rPr>
      </w:pPr>
      <w:r w:rsidRPr="00837505">
        <w:rPr>
          <w:sz w:val="22"/>
          <w:szCs w:val="22"/>
          <w:lang w:val="en-GB"/>
        </w:rPr>
        <w:t xml:space="preserve">What are frequently encountered evidentiary hurdles? Can the courts, upon the request of a party, compel the opposing party to produce evidence that is in the control of that party? Do the procedures include the means to identify and protect confidential information? </w:t>
      </w:r>
    </w:p>
    <w:p w:rsidR="0017118A" w:rsidRPr="00837505" w:rsidRDefault="0017118A" w:rsidP="0017118A">
      <w:pPr>
        <w:pStyle w:val="Default"/>
        <w:rPr>
          <w:sz w:val="22"/>
          <w:szCs w:val="22"/>
          <w:lang w:val="en-GB"/>
        </w:rPr>
      </w:pPr>
    </w:p>
    <w:p w:rsidR="0017118A" w:rsidRPr="00837505" w:rsidRDefault="0017118A" w:rsidP="00E82730">
      <w:pPr>
        <w:pStyle w:val="Default"/>
        <w:numPr>
          <w:ilvl w:val="0"/>
          <w:numId w:val="3"/>
        </w:numPr>
        <w:ind w:left="0" w:firstLine="0"/>
        <w:rPr>
          <w:sz w:val="22"/>
          <w:szCs w:val="22"/>
          <w:lang w:val="en-GB"/>
        </w:rPr>
      </w:pPr>
      <w:r w:rsidRPr="00837505">
        <w:rPr>
          <w:sz w:val="22"/>
          <w:szCs w:val="22"/>
          <w:lang w:val="en-GB"/>
        </w:rPr>
        <w:t xml:space="preserve">What action may be taken against a party who impedes IP enforcement procedures? </w:t>
      </w:r>
    </w:p>
    <w:p w:rsidR="0017118A" w:rsidRPr="00837505" w:rsidRDefault="0017118A" w:rsidP="0017118A">
      <w:pPr>
        <w:pStyle w:val="Default"/>
        <w:rPr>
          <w:sz w:val="22"/>
          <w:szCs w:val="22"/>
          <w:lang w:val="en-GB"/>
        </w:rPr>
      </w:pPr>
    </w:p>
    <w:p w:rsidR="0017118A" w:rsidRPr="00837505" w:rsidRDefault="0017118A" w:rsidP="0017118A">
      <w:pPr>
        <w:pStyle w:val="Default"/>
        <w:rPr>
          <w:sz w:val="22"/>
          <w:szCs w:val="22"/>
          <w:lang w:val="en-GB"/>
        </w:rPr>
      </w:pPr>
      <w:r w:rsidRPr="00837505">
        <w:rPr>
          <w:i/>
          <w:iCs/>
          <w:sz w:val="22"/>
          <w:szCs w:val="22"/>
          <w:lang w:val="en-GB"/>
        </w:rPr>
        <w:t xml:space="preserve">Injunctions </w:t>
      </w:r>
    </w:p>
    <w:p w:rsidR="00E82730" w:rsidRPr="00837505" w:rsidRDefault="00E82730" w:rsidP="0017118A">
      <w:pPr>
        <w:pStyle w:val="Default"/>
        <w:rPr>
          <w:sz w:val="22"/>
          <w:szCs w:val="22"/>
          <w:lang w:val="en-GB"/>
        </w:rPr>
      </w:pPr>
    </w:p>
    <w:p w:rsidR="0017118A" w:rsidRPr="00837505" w:rsidRDefault="0017118A" w:rsidP="00E82730">
      <w:pPr>
        <w:pStyle w:val="Default"/>
        <w:numPr>
          <w:ilvl w:val="0"/>
          <w:numId w:val="3"/>
        </w:numPr>
        <w:ind w:left="0" w:firstLine="0"/>
        <w:rPr>
          <w:sz w:val="22"/>
          <w:szCs w:val="22"/>
          <w:lang w:val="en-GB"/>
        </w:rPr>
      </w:pPr>
      <w:r w:rsidRPr="00837505">
        <w:rPr>
          <w:sz w:val="22"/>
          <w:szCs w:val="22"/>
          <w:lang w:val="en-GB"/>
        </w:rPr>
        <w:t xml:space="preserve">Can the court, by injunction, order a party to desist from infringement? What remedies exist in cases where a party refuses to comply with such a court order? </w:t>
      </w:r>
    </w:p>
    <w:p w:rsidR="0017118A" w:rsidRPr="00837505" w:rsidRDefault="0017118A" w:rsidP="0017118A">
      <w:pPr>
        <w:pStyle w:val="Default"/>
        <w:rPr>
          <w:sz w:val="22"/>
          <w:szCs w:val="22"/>
          <w:lang w:val="en-GB"/>
        </w:rPr>
      </w:pPr>
    </w:p>
    <w:p w:rsidR="0017118A" w:rsidRPr="00837505" w:rsidRDefault="0017118A" w:rsidP="0017118A">
      <w:pPr>
        <w:pStyle w:val="Default"/>
        <w:rPr>
          <w:sz w:val="22"/>
          <w:szCs w:val="22"/>
          <w:lang w:val="en-GB"/>
        </w:rPr>
      </w:pPr>
      <w:r w:rsidRPr="00837505">
        <w:rPr>
          <w:i/>
          <w:iCs/>
          <w:sz w:val="22"/>
          <w:szCs w:val="22"/>
          <w:lang w:val="en-GB"/>
        </w:rPr>
        <w:t xml:space="preserve">Damages </w:t>
      </w:r>
    </w:p>
    <w:p w:rsidR="00E82730" w:rsidRPr="00837505" w:rsidRDefault="00E82730" w:rsidP="0017118A">
      <w:pPr>
        <w:pStyle w:val="Default"/>
        <w:rPr>
          <w:sz w:val="22"/>
          <w:szCs w:val="22"/>
          <w:lang w:val="en-GB"/>
        </w:rPr>
      </w:pPr>
    </w:p>
    <w:p w:rsidR="0017118A" w:rsidRPr="00837505" w:rsidRDefault="0017118A" w:rsidP="00E82730">
      <w:pPr>
        <w:pStyle w:val="Default"/>
        <w:numPr>
          <w:ilvl w:val="0"/>
          <w:numId w:val="3"/>
        </w:numPr>
        <w:ind w:left="0" w:firstLine="0"/>
        <w:rPr>
          <w:sz w:val="22"/>
          <w:szCs w:val="22"/>
          <w:lang w:val="en-GB"/>
        </w:rPr>
      </w:pPr>
      <w:r w:rsidRPr="00837505">
        <w:rPr>
          <w:sz w:val="22"/>
          <w:szCs w:val="22"/>
          <w:lang w:val="en-GB"/>
        </w:rPr>
        <w:t xml:space="preserve">Please describe the basis for the calculation of damages. </w:t>
      </w:r>
    </w:p>
    <w:p w:rsidR="0017118A" w:rsidRPr="00837505" w:rsidRDefault="0017118A" w:rsidP="0017118A">
      <w:pPr>
        <w:pStyle w:val="Default"/>
        <w:rPr>
          <w:sz w:val="22"/>
          <w:szCs w:val="22"/>
          <w:lang w:val="en-GB"/>
        </w:rPr>
      </w:pPr>
    </w:p>
    <w:p w:rsidR="0017118A" w:rsidRPr="00837505" w:rsidRDefault="0017118A" w:rsidP="0017118A">
      <w:pPr>
        <w:pStyle w:val="Default"/>
        <w:rPr>
          <w:sz w:val="22"/>
          <w:szCs w:val="22"/>
          <w:lang w:val="en-GB"/>
        </w:rPr>
      </w:pPr>
      <w:r w:rsidRPr="00837505">
        <w:rPr>
          <w:i/>
          <w:iCs/>
          <w:sz w:val="22"/>
          <w:szCs w:val="22"/>
          <w:lang w:val="en-GB"/>
        </w:rPr>
        <w:t xml:space="preserve">Disposal and Destruction </w:t>
      </w:r>
    </w:p>
    <w:p w:rsidR="00E82730" w:rsidRPr="00837505" w:rsidRDefault="00E82730" w:rsidP="0017118A">
      <w:pPr>
        <w:pStyle w:val="Default"/>
        <w:rPr>
          <w:sz w:val="22"/>
          <w:szCs w:val="22"/>
          <w:lang w:val="en-GB"/>
        </w:rPr>
      </w:pPr>
    </w:p>
    <w:p w:rsidR="0017118A" w:rsidRPr="00837505" w:rsidRDefault="0017118A" w:rsidP="00E82730">
      <w:pPr>
        <w:pStyle w:val="Default"/>
        <w:numPr>
          <w:ilvl w:val="0"/>
          <w:numId w:val="3"/>
        </w:numPr>
        <w:ind w:left="0" w:firstLine="0"/>
        <w:rPr>
          <w:sz w:val="22"/>
          <w:szCs w:val="22"/>
          <w:lang w:val="en-GB"/>
        </w:rPr>
      </w:pPr>
      <w:r w:rsidRPr="00837505">
        <w:rPr>
          <w:sz w:val="22"/>
          <w:szCs w:val="22"/>
          <w:lang w:val="en-GB"/>
        </w:rPr>
        <w:t xml:space="preserve">Can the court, without compensation of any sort, order the destruction of infringing goods or order their disposal outside the channels of commerce? </w:t>
      </w:r>
    </w:p>
    <w:p w:rsidR="0017118A" w:rsidRPr="00837505" w:rsidRDefault="0017118A" w:rsidP="0017118A">
      <w:pPr>
        <w:pStyle w:val="Default"/>
        <w:rPr>
          <w:sz w:val="22"/>
          <w:szCs w:val="22"/>
          <w:lang w:val="en-GB"/>
        </w:rPr>
      </w:pPr>
    </w:p>
    <w:p w:rsidR="0017118A" w:rsidRPr="00837505" w:rsidRDefault="0017118A" w:rsidP="0017118A">
      <w:pPr>
        <w:pStyle w:val="Default"/>
        <w:rPr>
          <w:sz w:val="22"/>
          <w:szCs w:val="22"/>
          <w:lang w:val="en-GB"/>
        </w:rPr>
      </w:pPr>
      <w:r w:rsidRPr="00837505">
        <w:rPr>
          <w:i/>
          <w:iCs/>
          <w:sz w:val="22"/>
          <w:szCs w:val="22"/>
          <w:lang w:val="en-GB"/>
        </w:rPr>
        <w:t xml:space="preserve">Right of Information </w:t>
      </w:r>
    </w:p>
    <w:p w:rsidR="00E82730" w:rsidRPr="00837505" w:rsidRDefault="00E82730" w:rsidP="0017118A">
      <w:pPr>
        <w:pStyle w:val="Default"/>
        <w:rPr>
          <w:sz w:val="22"/>
          <w:szCs w:val="22"/>
          <w:lang w:val="en-GB"/>
        </w:rPr>
      </w:pPr>
    </w:p>
    <w:p w:rsidR="0017118A" w:rsidRPr="00837505" w:rsidRDefault="0017118A" w:rsidP="00E82730">
      <w:pPr>
        <w:pStyle w:val="Default"/>
        <w:numPr>
          <w:ilvl w:val="0"/>
          <w:numId w:val="3"/>
        </w:numPr>
        <w:ind w:left="0" w:firstLine="0"/>
        <w:rPr>
          <w:sz w:val="22"/>
          <w:szCs w:val="22"/>
          <w:lang w:val="en-GB"/>
        </w:rPr>
      </w:pPr>
      <w:r w:rsidRPr="00837505">
        <w:rPr>
          <w:sz w:val="22"/>
          <w:szCs w:val="22"/>
          <w:lang w:val="en-GB"/>
        </w:rPr>
        <w:lastRenderedPageBreak/>
        <w:t xml:space="preserve">Can the court order an infringer to disclose the identity of third persons involved in the production and distribution of infringing goods or services and their channels of distribution? If yes, under what circumstances? </w:t>
      </w:r>
    </w:p>
    <w:p w:rsidR="0017118A" w:rsidRPr="00837505" w:rsidRDefault="0017118A" w:rsidP="0017118A">
      <w:pPr>
        <w:pStyle w:val="Default"/>
        <w:rPr>
          <w:sz w:val="22"/>
          <w:szCs w:val="22"/>
          <w:lang w:val="en-GB"/>
        </w:rPr>
      </w:pPr>
    </w:p>
    <w:p w:rsidR="0017118A" w:rsidRPr="00837505" w:rsidRDefault="0017118A" w:rsidP="0017118A">
      <w:pPr>
        <w:pStyle w:val="Default"/>
        <w:rPr>
          <w:sz w:val="22"/>
          <w:szCs w:val="22"/>
          <w:lang w:val="en-GB"/>
        </w:rPr>
      </w:pPr>
      <w:r w:rsidRPr="00837505">
        <w:rPr>
          <w:i/>
          <w:iCs/>
          <w:sz w:val="22"/>
          <w:szCs w:val="22"/>
          <w:lang w:val="en-GB"/>
        </w:rPr>
        <w:t xml:space="preserve">Indemnification of the Defendant </w:t>
      </w:r>
    </w:p>
    <w:p w:rsidR="00E82730" w:rsidRPr="00837505" w:rsidRDefault="00E82730" w:rsidP="0017118A">
      <w:pPr>
        <w:pStyle w:val="Default"/>
        <w:rPr>
          <w:sz w:val="22"/>
          <w:szCs w:val="22"/>
          <w:lang w:val="en-GB"/>
        </w:rPr>
      </w:pPr>
    </w:p>
    <w:p w:rsidR="0017118A" w:rsidRPr="00837505" w:rsidRDefault="0017118A" w:rsidP="00E82730">
      <w:pPr>
        <w:pStyle w:val="Default"/>
        <w:numPr>
          <w:ilvl w:val="0"/>
          <w:numId w:val="3"/>
        </w:numPr>
        <w:ind w:left="0" w:firstLine="0"/>
        <w:rPr>
          <w:sz w:val="22"/>
          <w:szCs w:val="22"/>
          <w:lang w:val="en-GB"/>
        </w:rPr>
      </w:pPr>
      <w:r w:rsidRPr="00837505">
        <w:rPr>
          <w:sz w:val="22"/>
          <w:szCs w:val="22"/>
          <w:lang w:val="en-GB"/>
        </w:rPr>
        <w:t xml:space="preserve">Can the court order the party at whose request measures have been taken or who has abused enforcement procedures, to pay compensation for any injury suffered by the party wrongfully enjoined or wrongfully restrained? </w:t>
      </w:r>
    </w:p>
    <w:p w:rsidR="0017118A" w:rsidRPr="00837505" w:rsidRDefault="0017118A" w:rsidP="0017118A">
      <w:pPr>
        <w:pStyle w:val="Default"/>
        <w:rPr>
          <w:sz w:val="22"/>
          <w:szCs w:val="22"/>
          <w:lang w:val="en-GB"/>
        </w:rPr>
      </w:pPr>
    </w:p>
    <w:p w:rsidR="0017118A" w:rsidRPr="00837505" w:rsidRDefault="0017118A" w:rsidP="0017118A">
      <w:pPr>
        <w:pStyle w:val="Default"/>
        <w:rPr>
          <w:sz w:val="22"/>
          <w:szCs w:val="22"/>
          <w:lang w:val="en-GB"/>
        </w:rPr>
      </w:pPr>
    </w:p>
    <w:p w:rsidR="0017118A" w:rsidRPr="00837505" w:rsidRDefault="0017118A" w:rsidP="0017118A">
      <w:pPr>
        <w:pStyle w:val="Default"/>
        <w:rPr>
          <w:sz w:val="22"/>
          <w:szCs w:val="22"/>
          <w:lang w:val="en-GB"/>
        </w:rPr>
      </w:pPr>
      <w:r w:rsidRPr="00837505">
        <w:rPr>
          <w:b/>
          <w:bCs/>
          <w:sz w:val="22"/>
          <w:szCs w:val="22"/>
          <w:lang w:val="en-GB"/>
        </w:rPr>
        <w:t xml:space="preserve">Provisional Measures </w:t>
      </w:r>
    </w:p>
    <w:p w:rsidR="0017118A" w:rsidRPr="00837505" w:rsidRDefault="0017118A" w:rsidP="0017118A">
      <w:pPr>
        <w:pStyle w:val="Default"/>
        <w:rPr>
          <w:sz w:val="22"/>
          <w:szCs w:val="22"/>
          <w:lang w:val="en-GB"/>
        </w:rPr>
      </w:pPr>
      <w:r w:rsidRPr="00837505">
        <w:rPr>
          <w:sz w:val="22"/>
          <w:szCs w:val="22"/>
          <w:lang w:val="en-GB"/>
        </w:rPr>
        <w:t xml:space="preserve">(Ref. TRIPS Agreement, Article 50) </w:t>
      </w:r>
    </w:p>
    <w:p w:rsidR="002C5333" w:rsidRPr="00837505" w:rsidRDefault="002C5333" w:rsidP="0017118A">
      <w:pPr>
        <w:pStyle w:val="Default"/>
        <w:rPr>
          <w:sz w:val="22"/>
          <w:szCs w:val="22"/>
          <w:lang w:val="en-GB"/>
        </w:rPr>
      </w:pPr>
    </w:p>
    <w:p w:rsidR="0017118A" w:rsidRPr="00837505" w:rsidRDefault="0017118A" w:rsidP="00E82730">
      <w:pPr>
        <w:pStyle w:val="Default"/>
        <w:numPr>
          <w:ilvl w:val="0"/>
          <w:numId w:val="3"/>
        </w:numPr>
        <w:ind w:left="0" w:firstLine="0"/>
        <w:rPr>
          <w:sz w:val="22"/>
          <w:szCs w:val="22"/>
          <w:lang w:val="en-GB"/>
        </w:rPr>
      </w:pPr>
      <w:r w:rsidRPr="00837505">
        <w:rPr>
          <w:sz w:val="22"/>
          <w:szCs w:val="22"/>
          <w:lang w:val="en-GB"/>
        </w:rPr>
        <w:t xml:space="preserve">Describe the types of provisional measures that courts may order in IP cases. What are the main features (including the applicable time limits) of the procedure for requesting, obtaining and maintaining the provisional measures? </w:t>
      </w:r>
    </w:p>
    <w:p w:rsidR="0017118A" w:rsidRPr="00837505" w:rsidRDefault="0017118A" w:rsidP="0017118A">
      <w:pPr>
        <w:pStyle w:val="Default"/>
        <w:rPr>
          <w:sz w:val="22"/>
          <w:szCs w:val="22"/>
          <w:lang w:val="en-GB"/>
        </w:rPr>
      </w:pPr>
    </w:p>
    <w:p w:rsidR="0017118A" w:rsidRPr="00837505" w:rsidRDefault="0017118A" w:rsidP="00E82730">
      <w:pPr>
        <w:pStyle w:val="Default"/>
        <w:numPr>
          <w:ilvl w:val="0"/>
          <w:numId w:val="3"/>
        </w:numPr>
        <w:ind w:left="0" w:firstLine="0"/>
        <w:rPr>
          <w:sz w:val="22"/>
          <w:szCs w:val="22"/>
          <w:lang w:val="en-GB"/>
        </w:rPr>
      </w:pPr>
      <w:r w:rsidRPr="00837505">
        <w:rPr>
          <w:sz w:val="22"/>
          <w:szCs w:val="22"/>
          <w:lang w:val="en-GB"/>
        </w:rPr>
        <w:t xml:space="preserve">Can the court issue provisional orders </w:t>
      </w:r>
      <w:proofErr w:type="spellStart"/>
      <w:r w:rsidRPr="00837505">
        <w:rPr>
          <w:i/>
          <w:iCs/>
          <w:sz w:val="22"/>
          <w:szCs w:val="22"/>
          <w:lang w:val="en-GB"/>
        </w:rPr>
        <w:t>inaudita</w:t>
      </w:r>
      <w:proofErr w:type="spellEnd"/>
      <w:r w:rsidRPr="00837505">
        <w:rPr>
          <w:i/>
          <w:iCs/>
          <w:sz w:val="22"/>
          <w:szCs w:val="22"/>
          <w:lang w:val="en-GB"/>
        </w:rPr>
        <w:t xml:space="preserve"> </w:t>
      </w:r>
      <w:proofErr w:type="spellStart"/>
      <w:r w:rsidRPr="00837505">
        <w:rPr>
          <w:i/>
          <w:iCs/>
          <w:sz w:val="22"/>
          <w:szCs w:val="22"/>
          <w:lang w:val="en-GB"/>
        </w:rPr>
        <w:t>altera</w:t>
      </w:r>
      <w:proofErr w:type="spellEnd"/>
      <w:r w:rsidRPr="00837505">
        <w:rPr>
          <w:i/>
          <w:iCs/>
          <w:sz w:val="22"/>
          <w:szCs w:val="22"/>
          <w:lang w:val="en-GB"/>
        </w:rPr>
        <w:t xml:space="preserve"> parte </w:t>
      </w:r>
      <w:r w:rsidRPr="00837505">
        <w:rPr>
          <w:sz w:val="22"/>
          <w:szCs w:val="22"/>
          <w:lang w:val="en-GB"/>
        </w:rPr>
        <w:t>(</w:t>
      </w:r>
      <w:r w:rsidRPr="00837505">
        <w:rPr>
          <w:i/>
          <w:iCs/>
          <w:sz w:val="22"/>
          <w:szCs w:val="22"/>
          <w:lang w:val="en-GB"/>
        </w:rPr>
        <w:t>ex parte</w:t>
      </w:r>
      <w:r w:rsidRPr="00837505">
        <w:rPr>
          <w:sz w:val="22"/>
          <w:szCs w:val="22"/>
          <w:lang w:val="en-GB"/>
        </w:rPr>
        <w:t>), that is to say, without having heard the defendant? If yes, under what circumstances</w:t>
      </w:r>
      <w:r w:rsidR="00E84EB2" w:rsidRPr="00837505">
        <w:rPr>
          <w:sz w:val="22"/>
          <w:szCs w:val="22"/>
          <w:lang w:val="en-GB"/>
        </w:rPr>
        <w:t xml:space="preserve"> or conditions</w:t>
      </w:r>
      <w:r w:rsidRPr="00837505">
        <w:rPr>
          <w:sz w:val="22"/>
          <w:szCs w:val="22"/>
          <w:lang w:val="en-GB"/>
        </w:rPr>
        <w:t xml:space="preserve">? </w:t>
      </w:r>
    </w:p>
    <w:p w:rsidR="0017118A" w:rsidRPr="00837505" w:rsidRDefault="0017118A" w:rsidP="0017118A">
      <w:pPr>
        <w:pStyle w:val="Default"/>
        <w:rPr>
          <w:sz w:val="22"/>
          <w:szCs w:val="22"/>
          <w:lang w:val="en-GB"/>
        </w:rPr>
      </w:pPr>
    </w:p>
    <w:p w:rsidR="0017118A" w:rsidRPr="00837505" w:rsidRDefault="0017118A" w:rsidP="00E82730">
      <w:pPr>
        <w:pStyle w:val="Default"/>
        <w:numPr>
          <w:ilvl w:val="0"/>
          <w:numId w:val="3"/>
        </w:numPr>
        <w:ind w:left="0" w:firstLine="0"/>
        <w:rPr>
          <w:sz w:val="22"/>
          <w:szCs w:val="22"/>
          <w:lang w:val="en-GB"/>
        </w:rPr>
      </w:pPr>
      <w:r w:rsidRPr="00837505">
        <w:rPr>
          <w:sz w:val="22"/>
          <w:szCs w:val="22"/>
          <w:lang w:val="en-GB"/>
        </w:rPr>
        <w:t>Are provisional measures subject to review?</w:t>
      </w:r>
    </w:p>
    <w:p w:rsidR="0017118A" w:rsidRPr="00837505" w:rsidRDefault="0017118A" w:rsidP="0017118A">
      <w:pPr>
        <w:pStyle w:val="Default"/>
        <w:rPr>
          <w:sz w:val="22"/>
          <w:szCs w:val="22"/>
          <w:lang w:val="en-GB"/>
        </w:rPr>
      </w:pPr>
    </w:p>
    <w:p w:rsidR="0017118A" w:rsidRDefault="0017118A" w:rsidP="0017118A">
      <w:pPr>
        <w:pStyle w:val="Default"/>
        <w:pageBreakBefore/>
        <w:rPr>
          <w:sz w:val="22"/>
          <w:szCs w:val="22"/>
        </w:rPr>
      </w:pPr>
      <w:r>
        <w:rPr>
          <w:b/>
          <w:bCs/>
          <w:sz w:val="22"/>
          <w:szCs w:val="22"/>
        </w:rPr>
        <w:lastRenderedPageBreak/>
        <w:t xml:space="preserve">Criminal Procedure </w:t>
      </w:r>
    </w:p>
    <w:p w:rsidR="0017118A" w:rsidRDefault="0017118A" w:rsidP="0017118A">
      <w:pPr>
        <w:pStyle w:val="Default"/>
        <w:rPr>
          <w:sz w:val="22"/>
          <w:szCs w:val="22"/>
        </w:rPr>
      </w:pPr>
      <w:r>
        <w:rPr>
          <w:sz w:val="22"/>
          <w:szCs w:val="22"/>
        </w:rPr>
        <w:t xml:space="preserve">(Ref. TRIPS Agreement, Article 61) </w:t>
      </w:r>
    </w:p>
    <w:p w:rsidR="00E82730" w:rsidRDefault="00E82730" w:rsidP="0017118A">
      <w:pPr>
        <w:pStyle w:val="Default"/>
        <w:rPr>
          <w:sz w:val="22"/>
          <w:szCs w:val="22"/>
        </w:rPr>
      </w:pPr>
    </w:p>
    <w:p w:rsidR="0017118A" w:rsidRDefault="0017118A" w:rsidP="00E82730">
      <w:pPr>
        <w:pStyle w:val="Default"/>
        <w:numPr>
          <w:ilvl w:val="0"/>
          <w:numId w:val="3"/>
        </w:numPr>
        <w:ind w:left="0" w:firstLine="0"/>
        <w:rPr>
          <w:sz w:val="22"/>
          <w:szCs w:val="22"/>
        </w:rPr>
      </w:pPr>
      <w:r>
        <w:rPr>
          <w:sz w:val="22"/>
          <w:szCs w:val="22"/>
        </w:rPr>
        <w:t xml:space="preserve">In respect of which types of infringement of which IP rights are criminal procedures and penalties available? Specify, by type of infringement, the penalties and other remedies that may be imposed. What public interest consideration must be taken into account when determining a sentence? </w:t>
      </w:r>
    </w:p>
    <w:p w:rsidR="0017118A" w:rsidRDefault="0017118A" w:rsidP="0017118A">
      <w:pPr>
        <w:pStyle w:val="Default"/>
        <w:rPr>
          <w:sz w:val="22"/>
          <w:szCs w:val="22"/>
        </w:rPr>
      </w:pPr>
    </w:p>
    <w:p w:rsidR="0017118A" w:rsidRDefault="0017118A" w:rsidP="00E82730">
      <w:pPr>
        <w:pStyle w:val="Default"/>
        <w:numPr>
          <w:ilvl w:val="0"/>
          <w:numId w:val="3"/>
        </w:numPr>
        <w:ind w:left="0" w:firstLine="0"/>
        <w:rPr>
          <w:sz w:val="22"/>
          <w:szCs w:val="22"/>
        </w:rPr>
      </w:pPr>
      <w:r>
        <w:rPr>
          <w:sz w:val="22"/>
          <w:szCs w:val="22"/>
        </w:rPr>
        <w:t xml:space="preserve">Which public authorities are responsible for initiating criminal proceedings? Are they required to do this on their own initiative and/or in response to complaints? </w:t>
      </w:r>
    </w:p>
    <w:p w:rsidR="0017118A" w:rsidRDefault="0017118A" w:rsidP="0017118A">
      <w:pPr>
        <w:pStyle w:val="Default"/>
        <w:rPr>
          <w:sz w:val="22"/>
          <w:szCs w:val="22"/>
        </w:rPr>
      </w:pPr>
    </w:p>
    <w:p w:rsidR="0017118A" w:rsidRDefault="0017118A" w:rsidP="00E82730">
      <w:pPr>
        <w:pStyle w:val="Default"/>
        <w:numPr>
          <w:ilvl w:val="0"/>
          <w:numId w:val="3"/>
        </w:numPr>
        <w:ind w:left="0" w:firstLine="0"/>
        <w:rPr>
          <w:sz w:val="22"/>
          <w:szCs w:val="22"/>
        </w:rPr>
      </w:pPr>
      <w:r>
        <w:rPr>
          <w:sz w:val="22"/>
          <w:szCs w:val="22"/>
        </w:rPr>
        <w:t xml:space="preserve">Is there non IP-specific legislation that is frequently invoked in IP infringement cases? If so, which? </w:t>
      </w:r>
    </w:p>
    <w:p w:rsidR="0017118A" w:rsidRDefault="0017118A" w:rsidP="0017118A">
      <w:pPr>
        <w:pStyle w:val="Default"/>
        <w:rPr>
          <w:sz w:val="22"/>
          <w:szCs w:val="22"/>
        </w:rPr>
      </w:pPr>
    </w:p>
    <w:p w:rsidR="0017118A" w:rsidRDefault="0017118A" w:rsidP="0017118A">
      <w:pPr>
        <w:pStyle w:val="Default"/>
        <w:rPr>
          <w:sz w:val="22"/>
          <w:szCs w:val="22"/>
        </w:rPr>
      </w:pPr>
      <w:r>
        <w:rPr>
          <w:b/>
          <w:bCs/>
          <w:sz w:val="22"/>
          <w:szCs w:val="22"/>
        </w:rPr>
        <w:t xml:space="preserve">IP Enforcement in the Digital Environment </w:t>
      </w:r>
    </w:p>
    <w:p w:rsidR="00E82730" w:rsidRDefault="00E82730" w:rsidP="0017118A">
      <w:pPr>
        <w:pStyle w:val="Default"/>
        <w:rPr>
          <w:sz w:val="22"/>
          <w:szCs w:val="22"/>
        </w:rPr>
      </w:pPr>
    </w:p>
    <w:p w:rsidR="0017118A" w:rsidRDefault="0017118A" w:rsidP="00E82730">
      <w:pPr>
        <w:pStyle w:val="Default"/>
        <w:numPr>
          <w:ilvl w:val="0"/>
          <w:numId w:val="3"/>
        </w:numPr>
        <w:tabs>
          <w:tab w:val="left" w:pos="0"/>
        </w:tabs>
        <w:ind w:left="0" w:firstLine="0"/>
        <w:rPr>
          <w:sz w:val="22"/>
          <w:szCs w:val="22"/>
        </w:rPr>
      </w:pPr>
      <w:r>
        <w:rPr>
          <w:sz w:val="22"/>
          <w:szCs w:val="22"/>
        </w:rPr>
        <w:t xml:space="preserve">Are </w:t>
      </w:r>
      <w:r w:rsidR="00E84EB2">
        <w:rPr>
          <w:sz w:val="22"/>
          <w:szCs w:val="22"/>
        </w:rPr>
        <w:t xml:space="preserve">there </w:t>
      </w:r>
      <w:r>
        <w:rPr>
          <w:sz w:val="22"/>
          <w:szCs w:val="22"/>
        </w:rPr>
        <w:t xml:space="preserve">specific procedures available to address IP infringement in the digital environment? </w:t>
      </w:r>
    </w:p>
    <w:p w:rsidR="0017118A" w:rsidRDefault="0017118A" w:rsidP="0017118A">
      <w:pPr>
        <w:pStyle w:val="Default"/>
        <w:rPr>
          <w:sz w:val="22"/>
          <w:szCs w:val="22"/>
        </w:rPr>
      </w:pPr>
    </w:p>
    <w:p w:rsidR="0017118A" w:rsidRDefault="0017118A" w:rsidP="0017118A">
      <w:pPr>
        <w:pStyle w:val="Default"/>
        <w:rPr>
          <w:sz w:val="22"/>
          <w:szCs w:val="22"/>
        </w:rPr>
      </w:pPr>
    </w:p>
    <w:p w:rsidR="0017118A" w:rsidRDefault="0017118A" w:rsidP="0017118A">
      <w:pPr>
        <w:pStyle w:val="Default"/>
        <w:rPr>
          <w:sz w:val="22"/>
          <w:szCs w:val="22"/>
        </w:rPr>
      </w:pPr>
      <w:r>
        <w:rPr>
          <w:b/>
          <w:bCs/>
          <w:sz w:val="22"/>
          <w:szCs w:val="22"/>
        </w:rPr>
        <w:t xml:space="preserve">Challenges </w:t>
      </w:r>
    </w:p>
    <w:p w:rsidR="00E82730" w:rsidRDefault="00E82730" w:rsidP="0017118A">
      <w:pPr>
        <w:pStyle w:val="Default"/>
        <w:rPr>
          <w:sz w:val="22"/>
          <w:szCs w:val="22"/>
        </w:rPr>
      </w:pPr>
    </w:p>
    <w:p w:rsidR="0017118A" w:rsidRDefault="0017118A" w:rsidP="00E82730">
      <w:pPr>
        <w:pStyle w:val="Default"/>
        <w:numPr>
          <w:ilvl w:val="0"/>
          <w:numId w:val="3"/>
        </w:numPr>
        <w:ind w:left="0" w:firstLine="0"/>
        <w:rPr>
          <w:sz w:val="22"/>
          <w:szCs w:val="22"/>
        </w:rPr>
      </w:pPr>
      <w:r>
        <w:rPr>
          <w:sz w:val="22"/>
          <w:szCs w:val="22"/>
        </w:rPr>
        <w:t>Please describe</w:t>
      </w:r>
      <w:r w:rsidR="00E84EB2">
        <w:rPr>
          <w:sz w:val="22"/>
          <w:szCs w:val="22"/>
        </w:rPr>
        <w:t>, based on your experience,</w:t>
      </w:r>
      <w:r>
        <w:rPr>
          <w:sz w:val="22"/>
          <w:szCs w:val="22"/>
        </w:rPr>
        <w:t xml:space="preserve"> the main challenges </w:t>
      </w:r>
      <w:r w:rsidR="00E84EB2">
        <w:rPr>
          <w:sz w:val="22"/>
          <w:szCs w:val="22"/>
        </w:rPr>
        <w:t>for</w:t>
      </w:r>
      <w:r>
        <w:rPr>
          <w:sz w:val="22"/>
          <w:szCs w:val="22"/>
        </w:rPr>
        <w:t xml:space="preserve"> members of the judiciary in deciding IP cases. </w:t>
      </w:r>
    </w:p>
    <w:p w:rsidR="009D3813" w:rsidRPr="00156B21" w:rsidRDefault="009D3813" w:rsidP="009D3813">
      <w:pPr>
        <w:tabs>
          <w:tab w:val="left" w:pos="567"/>
        </w:tabs>
        <w:ind w:left="567" w:hanging="567"/>
        <w:rPr>
          <w:rFonts w:ascii="Arial" w:hAnsi="Arial" w:cs="Arial"/>
          <w:sz w:val="22"/>
          <w:szCs w:val="22"/>
        </w:rPr>
      </w:pPr>
    </w:p>
    <w:p w:rsidR="00CB18D2" w:rsidRDefault="00CB18D2" w:rsidP="00CB18D2">
      <w:pPr>
        <w:pStyle w:val="Akapitzlist"/>
        <w:rPr>
          <w:rFonts w:ascii="Arial" w:hAnsi="Arial" w:cs="Arial"/>
          <w:sz w:val="22"/>
          <w:szCs w:val="22"/>
        </w:rPr>
      </w:pPr>
    </w:p>
    <w:p w:rsidR="00CB18D2" w:rsidRDefault="00CB18D2" w:rsidP="00CB18D2">
      <w:pPr>
        <w:tabs>
          <w:tab w:val="left" w:pos="567"/>
        </w:tabs>
        <w:rPr>
          <w:rFonts w:ascii="Arial" w:hAnsi="Arial" w:cs="Arial"/>
          <w:sz w:val="22"/>
          <w:szCs w:val="22"/>
        </w:rPr>
      </w:pPr>
    </w:p>
    <w:p w:rsidR="00CB18D2" w:rsidRPr="00156B21" w:rsidRDefault="00CB18D2" w:rsidP="00CB18D2">
      <w:pPr>
        <w:tabs>
          <w:tab w:val="left" w:pos="567"/>
        </w:tabs>
        <w:rPr>
          <w:rFonts w:ascii="Arial" w:hAnsi="Arial" w:cs="Arial"/>
          <w:sz w:val="22"/>
          <w:szCs w:val="22"/>
        </w:rPr>
      </w:pPr>
    </w:p>
    <w:bookmarkEnd w:id="0"/>
    <w:p w:rsidR="00CB39DE" w:rsidRDefault="00CB39DE"/>
    <w:sectPr w:rsidR="00CB39DE" w:rsidSect="00E82730">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A71" w:rsidRDefault="00B92A71" w:rsidP="00E82730">
      <w:r>
        <w:separator/>
      </w:r>
    </w:p>
  </w:endnote>
  <w:endnote w:type="continuationSeparator" w:id="0">
    <w:p w:rsidR="00B92A71" w:rsidRDefault="00B92A71" w:rsidP="00E8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A71" w:rsidRDefault="00B92A71" w:rsidP="00E82730">
      <w:r>
        <w:separator/>
      </w:r>
    </w:p>
  </w:footnote>
  <w:footnote w:type="continuationSeparator" w:id="0">
    <w:p w:rsidR="00B92A71" w:rsidRDefault="00B92A71" w:rsidP="00E82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083375"/>
      <w:docPartObj>
        <w:docPartGallery w:val="Page Numbers (Top of Page)"/>
        <w:docPartUnique/>
      </w:docPartObj>
    </w:sdtPr>
    <w:sdtEndPr>
      <w:rPr>
        <w:rFonts w:ascii="Arial" w:hAnsi="Arial" w:cs="Arial"/>
        <w:noProof/>
        <w:sz w:val="22"/>
      </w:rPr>
    </w:sdtEndPr>
    <w:sdtContent>
      <w:p w:rsidR="00E82730" w:rsidRPr="00E82730" w:rsidRDefault="00E82730">
        <w:pPr>
          <w:pStyle w:val="Nagwek"/>
          <w:jc w:val="right"/>
          <w:rPr>
            <w:rFonts w:ascii="Arial" w:hAnsi="Arial" w:cs="Arial"/>
            <w:sz w:val="22"/>
          </w:rPr>
        </w:pPr>
        <w:r w:rsidRPr="00E82730">
          <w:rPr>
            <w:rFonts w:ascii="Arial" w:hAnsi="Arial" w:cs="Arial"/>
            <w:sz w:val="22"/>
          </w:rPr>
          <w:t xml:space="preserve">Page </w:t>
        </w:r>
        <w:r w:rsidRPr="00E82730">
          <w:rPr>
            <w:rFonts w:ascii="Arial" w:hAnsi="Arial" w:cs="Arial"/>
            <w:sz w:val="22"/>
          </w:rPr>
          <w:fldChar w:fldCharType="begin"/>
        </w:r>
        <w:r w:rsidRPr="00E82730">
          <w:rPr>
            <w:rFonts w:ascii="Arial" w:hAnsi="Arial" w:cs="Arial"/>
            <w:sz w:val="22"/>
          </w:rPr>
          <w:instrText xml:space="preserve"> PAGE   \* MERGEFORMAT </w:instrText>
        </w:r>
        <w:r w:rsidRPr="00E82730">
          <w:rPr>
            <w:rFonts w:ascii="Arial" w:hAnsi="Arial" w:cs="Arial"/>
            <w:sz w:val="22"/>
          </w:rPr>
          <w:fldChar w:fldCharType="separate"/>
        </w:r>
        <w:r w:rsidR="00ED6052">
          <w:rPr>
            <w:rFonts w:ascii="Arial" w:hAnsi="Arial" w:cs="Arial"/>
            <w:noProof/>
            <w:sz w:val="22"/>
          </w:rPr>
          <w:t>2</w:t>
        </w:r>
        <w:r w:rsidRPr="00E82730">
          <w:rPr>
            <w:rFonts w:ascii="Arial" w:hAnsi="Arial" w:cs="Arial"/>
            <w:noProof/>
            <w:sz w:val="22"/>
          </w:rPr>
          <w:fldChar w:fldCharType="end"/>
        </w:r>
      </w:p>
    </w:sdtContent>
  </w:sdt>
  <w:p w:rsidR="00E82730" w:rsidRDefault="00E82730">
    <w:pPr>
      <w:pStyle w:val="Nagwek"/>
      <w:rPr>
        <w:rFonts w:ascii="Arial" w:hAnsi="Arial" w:cs="Arial"/>
        <w:sz w:val="22"/>
      </w:rPr>
    </w:pPr>
  </w:p>
  <w:p w:rsidR="00E82730" w:rsidRPr="00E82730" w:rsidRDefault="00E82730">
    <w:pPr>
      <w:pStyle w:val="Nagwek"/>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E5267"/>
    <w:multiLevelType w:val="hybridMultilevel"/>
    <w:tmpl w:val="2634E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655C01"/>
    <w:multiLevelType w:val="hybridMultilevel"/>
    <w:tmpl w:val="9E2EF94E"/>
    <w:lvl w:ilvl="0" w:tplc="91B2F34E">
      <w:start w:val="1"/>
      <w:numFmt w:val="decimal"/>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nsid w:val="60171555"/>
    <w:multiLevelType w:val="hybridMultilevel"/>
    <w:tmpl w:val="59D80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13"/>
    <w:rsid w:val="00164EA9"/>
    <w:rsid w:val="0017118A"/>
    <w:rsid w:val="001F3394"/>
    <w:rsid w:val="002A6736"/>
    <w:rsid w:val="002C5333"/>
    <w:rsid w:val="004F01EE"/>
    <w:rsid w:val="00837505"/>
    <w:rsid w:val="008C4BB0"/>
    <w:rsid w:val="0093281E"/>
    <w:rsid w:val="009D3813"/>
    <w:rsid w:val="00B92A71"/>
    <w:rsid w:val="00BF3C39"/>
    <w:rsid w:val="00CB18D2"/>
    <w:rsid w:val="00CB39DE"/>
    <w:rsid w:val="00D21B8C"/>
    <w:rsid w:val="00E82730"/>
    <w:rsid w:val="00E84EB2"/>
    <w:rsid w:val="00ED6052"/>
    <w:rsid w:val="00F13AD4"/>
    <w:rsid w:val="00F931C3"/>
    <w:rsid w:val="00FF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7EA0D-3A50-4648-9398-8989D185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3813"/>
    <w:pPr>
      <w:spacing w:after="0" w:line="240" w:lineRule="auto"/>
    </w:pPr>
    <w:rPr>
      <w:rFonts w:ascii="Times New Roman" w:eastAsia="MS Mincho" w:hAnsi="Times New Roman" w:cs="Times New Roman"/>
      <w:sz w:val="24"/>
      <w:szCs w:val="20"/>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B18D2"/>
    <w:pPr>
      <w:ind w:left="720"/>
      <w:contextualSpacing/>
    </w:pPr>
  </w:style>
  <w:style w:type="character" w:styleId="Hipercze">
    <w:name w:val="Hyperlink"/>
    <w:basedOn w:val="Domylnaczcionkaakapitu"/>
    <w:uiPriority w:val="99"/>
    <w:unhideWhenUsed/>
    <w:rsid w:val="00164EA9"/>
    <w:rPr>
      <w:color w:val="0000FF" w:themeColor="hyperlink"/>
      <w:u w:val="single"/>
    </w:rPr>
  </w:style>
  <w:style w:type="paragraph" w:customStyle="1" w:styleId="Default">
    <w:name w:val="Default"/>
    <w:rsid w:val="0017118A"/>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E82730"/>
    <w:pPr>
      <w:tabs>
        <w:tab w:val="center" w:pos="4680"/>
        <w:tab w:val="right" w:pos="9360"/>
      </w:tabs>
    </w:pPr>
  </w:style>
  <w:style w:type="character" w:customStyle="1" w:styleId="NagwekZnak">
    <w:name w:val="Nagłówek Znak"/>
    <w:basedOn w:val="Domylnaczcionkaakapitu"/>
    <w:link w:val="Nagwek"/>
    <w:uiPriority w:val="99"/>
    <w:rsid w:val="00E82730"/>
    <w:rPr>
      <w:rFonts w:ascii="Times New Roman" w:eastAsia="MS Mincho" w:hAnsi="Times New Roman" w:cs="Times New Roman"/>
      <w:sz w:val="24"/>
      <w:szCs w:val="20"/>
      <w:lang w:eastAsia="ja-JP"/>
    </w:rPr>
  </w:style>
  <w:style w:type="paragraph" w:styleId="Stopka">
    <w:name w:val="footer"/>
    <w:basedOn w:val="Normalny"/>
    <w:link w:val="StopkaZnak"/>
    <w:uiPriority w:val="99"/>
    <w:unhideWhenUsed/>
    <w:rsid w:val="00E82730"/>
    <w:pPr>
      <w:tabs>
        <w:tab w:val="center" w:pos="4680"/>
        <w:tab w:val="right" w:pos="9360"/>
      </w:tabs>
    </w:pPr>
  </w:style>
  <w:style w:type="character" w:customStyle="1" w:styleId="StopkaZnak">
    <w:name w:val="Stopka Znak"/>
    <w:basedOn w:val="Domylnaczcionkaakapitu"/>
    <w:link w:val="Stopka"/>
    <w:uiPriority w:val="99"/>
    <w:rsid w:val="00E82730"/>
    <w:rPr>
      <w:rFonts w:ascii="Times New Roman" w:eastAsia="MS Mincho" w:hAnsi="Times New Roman" w:cs="Times New Roman"/>
      <w:sz w:val="24"/>
      <w:szCs w:val="20"/>
      <w:lang w:eastAsia="ja-JP"/>
    </w:rPr>
  </w:style>
  <w:style w:type="paragraph" w:styleId="Tekstdymka">
    <w:name w:val="Balloon Text"/>
    <w:basedOn w:val="Normalny"/>
    <w:link w:val="TekstdymkaZnak"/>
    <w:uiPriority w:val="99"/>
    <w:semiHidden/>
    <w:unhideWhenUsed/>
    <w:rsid w:val="004F01EE"/>
    <w:rPr>
      <w:rFonts w:ascii="Tahoma" w:hAnsi="Tahoma" w:cs="Tahoma"/>
      <w:sz w:val="16"/>
      <w:szCs w:val="16"/>
    </w:rPr>
  </w:style>
  <w:style w:type="character" w:customStyle="1" w:styleId="TekstdymkaZnak">
    <w:name w:val="Tekst dymka Znak"/>
    <w:basedOn w:val="Domylnaczcionkaakapitu"/>
    <w:link w:val="Tekstdymka"/>
    <w:uiPriority w:val="99"/>
    <w:semiHidden/>
    <w:rsid w:val="004F01EE"/>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4826</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World Intellectual Property Organization</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VERMANDELE Xavier</dc:creator>
  <cp:lastModifiedBy>Ewa Dzioba</cp:lastModifiedBy>
  <cp:revision>2</cp:revision>
  <cp:lastPrinted>2016-09-12T13:45:00Z</cp:lastPrinted>
  <dcterms:created xsi:type="dcterms:W3CDTF">2016-09-16T10:51:00Z</dcterms:created>
  <dcterms:modified xsi:type="dcterms:W3CDTF">2016-09-16T10:51:00Z</dcterms:modified>
</cp:coreProperties>
</file>