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373" w:rsidRPr="004211E7" w:rsidRDefault="0031222D" w:rsidP="0031222D">
      <w:pPr>
        <w:jc w:val="center"/>
      </w:pPr>
      <w:r w:rsidRPr="004211E7">
        <w:rPr>
          <w:noProof/>
          <w:lang w:bidi="ar-SA"/>
        </w:rPr>
        <w:drawing>
          <wp:inline distT="0" distB="0" distL="0" distR="0" wp14:anchorId="2BCC8135" wp14:editId="5F859EBA">
            <wp:extent cx="3390418" cy="1815152"/>
            <wp:effectExtent l="0" t="0" r="63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728" cy="1815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22D" w:rsidRPr="004211E7" w:rsidRDefault="0031222D" w:rsidP="0031222D">
      <w:pPr>
        <w:jc w:val="center"/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16"/>
      </w:tblGrid>
      <w:tr w:rsidR="0031222D" w:rsidRPr="004211E7" w:rsidTr="0031222D">
        <w:trPr>
          <w:trHeight w:hRule="exact" w:val="1536"/>
        </w:trPr>
        <w:tc>
          <w:tcPr>
            <w:tcW w:w="9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22D" w:rsidRPr="004211E7" w:rsidRDefault="0031222D" w:rsidP="0031222D">
            <w:pPr>
              <w:pStyle w:val="Teksttreci20"/>
              <w:shd w:val="clear" w:color="auto" w:fill="auto"/>
              <w:spacing w:before="0" w:line="734" w:lineRule="exact"/>
              <w:ind w:firstLine="0"/>
              <w:jc w:val="center"/>
            </w:pPr>
            <w:r w:rsidRPr="004211E7">
              <w:rPr>
                <w:rStyle w:val="PogrubienieTeksttreci226ptOdstpy0pt"/>
                <w:spacing w:val="0"/>
              </w:rPr>
              <w:t>POLITYKA FINANSOWA DOTYCZĄCA DZIAŁAŃ REALIZOWANYCH PRZEZ EJTN</w:t>
            </w:r>
          </w:p>
        </w:tc>
      </w:tr>
    </w:tbl>
    <w:p w:rsidR="0031222D" w:rsidRPr="004211E7" w:rsidRDefault="0031222D" w:rsidP="0031222D"/>
    <w:p w:rsidR="0031222D" w:rsidRPr="004211E7" w:rsidRDefault="0031222D" w:rsidP="0031222D">
      <w:pPr>
        <w:rPr>
          <w:rStyle w:val="PogrubienieTeksttreci226ptOdstpy0pt"/>
          <w:spacing w:val="0"/>
          <w:sz w:val="34"/>
          <w:szCs w:val="34"/>
        </w:rPr>
      </w:pPr>
      <w:bookmarkStart w:id="0" w:name="bookmark0"/>
      <w:r w:rsidRPr="004211E7">
        <w:br w:type="page"/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lastRenderedPageBreak/>
        <w:t>I</w:t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WPROWADZENIE</w:t>
      </w:r>
      <w:bookmarkEnd w:id="0"/>
    </w:p>
    <w:p w:rsidR="0031222D" w:rsidRPr="004211E7" w:rsidRDefault="0031222D" w:rsidP="0031222D">
      <w:pPr>
        <w:rPr>
          <w:rStyle w:val="PogrubienieTeksttreci226ptOdstpy0pt"/>
          <w:spacing w:val="0"/>
          <w:sz w:val="34"/>
          <w:szCs w:val="34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55"/>
        </w:tabs>
        <w:spacing w:before="0" w:after="282" w:line="230" w:lineRule="exact"/>
        <w:ind w:left="1500" w:hanging="700"/>
      </w:pPr>
      <w:bookmarkStart w:id="1" w:name="bookmark1"/>
      <w:r w:rsidRPr="004211E7">
        <w:rPr>
          <w:color w:val="000000"/>
        </w:rPr>
        <w:t>Wprowadzenie</w:t>
      </w:r>
      <w:bookmarkEnd w:id="1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O ile Sekretariat nie ogłosi wcześniej inaczej, udział w jakichkolwiek działaniach EJTN uprawnia uczestnika lub jego instytucję wysyłającą do otrzymania zwrotu kosztów na warunkach ściśle określonych w niniejszym dokumencie.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Celem niniejszych zasad jest określenie w przejrzysty sposób specjalnej Korporacyjnej Polityki Finansowej EJTN regulującej kryteria kwalifikowalności oraz warunki, na jakich dokonywany jest taki zwrot.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Do celów niniejszego dokumentu działanie EJTN jest zdefiniowane jako każde wydarzenie włączone (każda impreza włączona) do programu działalności sieci zgodnie z jej rocznym budżetem operacyjnym (spotkania, seminaria, staże w ramach programu wymiany, wizyty studyjne itp....), a także wszelkie inne wydarzenia/imprezy, w których udział uczestnika, jako przedstawiciela sieci lub osoby działającej w jej interesie, jest dozwolony przez Sekretarza Generalnego.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</w:pPr>
      <w:r w:rsidRPr="004211E7">
        <w:rPr>
          <w:color w:val="000000"/>
        </w:rPr>
        <w:t>Niniejsze rozporządzenie będzie miało zastosowanie do każdego działania EJTN, z wyjątkiem działań regulowanych przez inny instrument finansowy niż zwykły roczny budżet operacyjny EJTN, gdy odpowiednie zasady jego realizacji są wyraźnie sprzeczne z bieżącymi sprawozdaniami.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94"/>
        </w:tabs>
        <w:spacing w:before="0"/>
        <w:ind w:left="1500" w:hanging="700"/>
        <w:rPr>
          <w:color w:val="000000"/>
        </w:rPr>
      </w:pPr>
      <w:r w:rsidRPr="004211E7">
        <w:rPr>
          <w:color w:val="000000"/>
        </w:rPr>
        <w:t>Zgodnie z art. 111 rozporządzenia finansowego (rozporządzenie Rady (WE, Euratom) nr 1605/2002) te same koszty w żadnym wypadku nie mogą być dwukrotnie finansowane z budżetu UE. Niniejsze rozporządzenie ma również zastosowanie do wszelkich działań finansowanych przez EJTN, nawet w przypadku, gdy uczestnik bierze udział w dwóch różnych działaniach zorganizowanych w tym samym czasie. W takim przypadku finansowane będzie tylko działanie o dłuższym okresie realizacji.</w:t>
      </w:r>
    </w:p>
    <w:p w:rsidR="0031222D" w:rsidRPr="004211E7" w:rsidRDefault="0031222D" w:rsidP="0031222D">
      <w:pPr>
        <w:rPr>
          <w:rFonts w:ascii="Calibri" w:eastAsia="Calibri" w:hAnsi="Calibri" w:cs="Calibri"/>
          <w:color w:val="000000"/>
        </w:rPr>
      </w:pPr>
      <w:r w:rsidRPr="004211E7">
        <w:br w:type="page"/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bookmarkStart w:id="2" w:name="bookmark2"/>
      <w:r w:rsidRPr="004211E7">
        <w:rPr>
          <w:rStyle w:val="PogrubienieTeksttreci226ptOdstpy0pt"/>
          <w:spacing w:val="0"/>
          <w:sz w:val="28"/>
        </w:rPr>
        <w:lastRenderedPageBreak/>
        <w:t>II</w:t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SPOTKANIA I DZIAŁALNOŚĆ SZKOLENIOWA EJTN</w:t>
      </w:r>
      <w:bookmarkEnd w:id="2"/>
    </w:p>
    <w:p w:rsidR="0031222D" w:rsidRPr="004211E7" w:rsidRDefault="0031222D" w:rsidP="0031222D">
      <w:pPr>
        <w:pStyle w:val="Akapitzlist"/>
        <w:ind w:left="0"/>
        <w:rPr>
          <w:rStyle w:val="PogrubienieTeksttreci226ptOdstpy0pt"/>
          <w:spacing w:val="0"/>
          <w:sz w:val="34"/>
          <w:szCs w:val="34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431" w:line="230" w:lineRule="exact"/>
        <w:ind w:left="1420" w:hanging="700"/>
      </w:pPr>
      <w:bookmarkStart w:id="3" w:name="bookmark3"/>
      <w:r w:rsidRPr="004211E7">
        <w:rPr>
          <w:color w:val="000000"/>
        </w:rPr>
        <w:t>Kryteria kwalifikacji do udziału w spotkaniach i działalności szkoleniowej EJTN</w:t>
      </w:r>
      <w:bookmarkEnd w:id="3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line="220" w:lineRule="exact"/>
        <w:ind w:left="1420" w:hanging="700"/>
      </w:pPr>
      <w:r w:rsidRPr="004211E7">
        <w:rPr>
          <w:color w:val="000000"/>
        </w:rPr>
        <w:t>Następujące wydatki uczestników są finansowane przez EJTN: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Delegaci uczestniczący w Walnym Zgromadzeniu: dwóch uczestników na każdego członka, z wyjątkiem sytuacji, w których kraj jest reprezentowany przez kilku członków; w takim przypadku EJTN sfinansuje tylko udział jednego uczestnika na każdego członka.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Delegaci uczestniczący w posiedzeniach Komitetu Sterującego, grup roboczych i podgrup roboczych: jeden uczestnik na każdego członka wybranego do udziału w tych organach, chyba że Komitet Sterujący zatwierdzi inaczej.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Delegaci uczestniczący w spotkaniach punktu kontaktowego Programu Wymiany: po jednym uczestniku z każdej instytucji partnerskiej.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Seminaria i inne działania: liczba uczestników przypisana każdemu członkowi w formularzu opisu działania.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/>
        <w:ind w:left="1700" w:hanging="700"/>
      </w:pPr>
      <w:r w:rsidRPr="004211E7">
        <w:rPr>
          <w:color w:val="000000"/>
        </w:rPr>
        <w:t>Audytorzy uczestniczący w Komitecie Sterującym i w Walnym Zgromadzeniu na zaproszenie Sekretarza Generalnego.</w:t>
      </w:r>
    </w:p>
    <w:p w:rsidR="0031222D" w:rsidRPr="004211E7" w:rsidRDefault="0031222D" w:rsidP="0031222D">
      <w:pPr>
        <w:pStyle w:val="Teksttreci20"/>
        <w:numPr>
          <w:ilvl w:val="2"/>
          <w:numId w:val="2"/>
        </w:numPr>
        <w:shd w:val="clear" w:color="auto" w:fill="auto"/>
        <w:tabs>
          <w:tab w:val="left" w:pos="1708"/>
        </w:tabs>
        <w:spacing w:before="0" w:after="300"/>
        <w:ind w:left="1700" w:hanging="700"/>
      </w:pPr>
      <w:r w:rsidRPr="004211E7">
        <w:rPr>
          <w:color w:val="000000"/>
        </w:rPr>
        <w:t>Personel EJTN: uczestników wyznacza Sekretarz Generalny według własnego uznania i w granicach przewidzianych w rocznym budżecie EJTN.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296"/>
        <w:ind w:left="1420" w:hanging="700"/>
      </w:pPr>
      <w:r w:rsidRPr="004211E7">
        <w:rPr>
          <w:color w:val="000000"/>
        </w:rPr>
        <w:t>Sekretarz Generalny ma prawo do zapraszania innych członków lub stron trzecich na którekolwiek z powyższych spotkań lub seminariów, po zasięgnięciu opinii, według właściwości, Komitetu Sterującego, przewodniczącego Komitetu Sterującego lub osób powołujących grupy robocze.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385" w:line="336" w:lineRule="exact"/>
        <w:ind w:left="1420" w:hanging="700"/>
      </w:pPr>
      <w:r w:rsidRPr="004211E7">
        <w:rPr>
          <w:color w:val="000000"/>
        </w:rPr>
        <w:t>Zasady zawarte w niniejszym rozporządzeniu będą miały odpowiednie zastosowanie zarówno do Sekretarza Generalnego EJTN, jak i do każdego innego podmiotu, będącego członkiem oficjalnej reprezentacji sieci na jakimkolwiek spotkaniu lub w jakiejkolwiek imprezie.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078"/>
        </w:tabs>
        <w:spacing w:before="0" w:after="162" w:line="230" w:lineRule="exact"/>
        <w:ind w:left="1420" w:hanging="700"/>
      </w:pPr>
      <w:bookmarkStart w:id="4" w:name="bookmark4"/>
      <w:r w:rsidRPr="004211E7">
        <w:rPr>
          <w:color w:val="000000"/>
        </w:rPr>
        <w:t>Warunki zwrotu kosztów</w:t>
      </w:r>
      <w:bookmarkEnd w:id="4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120"/>
        <w:ind w:left="1420" w:hanging="700"/>
      </w:pPr>
      <w:r w:rsidRPr="004211E7">
        <w:rPr>
          <w:color w:val="000000"/>
        </w:rPr>
        <w:t>Zwrot kosztów dotyczy zarówno kosztów podróży uczestnika, jak i zwykłych wydatków, przy czym te ostatnie są pokrywane w formie dziennej diety (per diem).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420"/>
        </w:tabs>
        <w:spacing w:before="0" w:after="120"/>
        <w:ind w:left="1420" w:hanging="700"/>
      </w:pPr>
      <w:r w:rsidRPr="004211E7">
        <w:rPr>
          <w:color w:val="000000"/>
        </w:rPr>
        <w:t>Zwrot kosztów następuje w terminie 2 miesięcy od daty wydarzenia/imprezy i po otrzymaniu kompletnej dokumentacji od uczestnika w wyznaczonym terminie.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420"/>
        </w:tabs>
        <w:spacing w:before="0" w:after="120"/>
        <w:ind w:firstLine="0"/>
        <w:rPr>
          <w:color w:val="000000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946"/>
        </w:tabs>
        <w:spacing w:before="0" w:after="287" w:line="230" w:lineRule="exact"/>
        <w:ind w:left="1320"/>
      </w:pPr>
      <w:bookmarkStart w:id="5" w:name="bookmark5"/>
      <w:r w:rsidRPr="004211E7">
        <w:rPr>
          <w:color w:val="000000"/>
        </w:rPr>
        <w:lastRenderedPageBreak/>
        <w:t>Koszty podróży</w:t>
      </w:r>
      <w:bookmarkEnd w:id="5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Całkowite koszty kwalifikowalne podróży w obie strony nie mogą przekroczyć 400 euro. Wszelkie koszty przekraczające tę kwotę są pokrywane przez uczestnika lub jego instytucję wysyłającą.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Przed podjęciem jakiegokolwiek zobowiązania finansowego można wystąpić o odstępstwo od korporacyjnej polityki finansowej (np. w zakresie kwoty przekraczającej 400 euro, różnicy w klasie podróży), jeśli jest to należycie uzasadnione (np. ze względu na pilność, skomplikowaną trasę, wyjazd na wyspę ...), z notą wyjaśniającą skierowaną do Sekretarza Generalnego. Taki wniosek będzie rozpatrywany w sposób uznaniowy i indywidualnie dla każdego przypadku.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Koszty wynikające z nadbagażu lub ubezpieczenia podróżnego nie podlegają zwrotowi w żadnym wypadku. W celu uniknięcia wątpliwości, chociaż limit 400 euro nadal będzie miał zastosowanie, za „koszt nadbagażu” nie będzie uważany wydatek związany z transportem jednej sztuki zarejestrowanego bagażu na osobę, gdy taki koszt nie jest uwzględniony w cenie biletu; aby być uprawnionym do zwrotu takich kosztów, uczestnicy muszą przedstawić, oprócz dokumentów podróży, wystarczające dowody na to, że transport takiej sztuki bagażu nie był wliczony w cenę biletu lotniczego.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Wszystkie wnioski o zwrot kosztów transportu należy uzasadnić za pomocą formularza wniosku o zwrot kosztów, do którego należy dołączyć odpowiednie dokumenty podróży, wskazane poniżej.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/>
        <w:ind w:left="1320" w:hanging="720"/>
      </w:pPr>
      <w:r w:rsidRPr="004211E7">
        <w:rPr>
          <w:color w:val="000000"/>
        </w:rPr>
        <w:t>Poniesione przez uczestników koszty podróży podlegają zwrotowi w odniesieniu do najbardziej oszczędnego środka transportu między instytucją w kraju pochodzenia a miejscem wydarzenia/imprezy w kraju goszczącym.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 w:line="307" w:lineRule="exact"/>
        <w:ind w:left="1320" w:hanging="720"/>
      </w:pPr>
      <w:r w:rsidRPr="004211E7">
        <w:rPr>
          <w:color w:val="000000"/>
        </w:rPr>
        <w:t>Uczestnikom podróżującym z kraju spoza UE przysługuje zwrot kwoty równej kosztom podróży między ich krajem zamieszkania w UE a krajem goszczącym daną imprezę/wydarzenie. Dotyczy to również terytoriów zamorskich. Uczestnicy, rezerwując w takiej sytuacji podróż, którą zamierzają odbyć, muszą przeprowadzić symulację zwykłej podróży ze swojego kraju do miejsca wydarzenia. Symulacja ta musi być uwzględniona we wniosku o zwrot kosztów wysłanym po zakończeniu danego wydarzenia.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 w:line="336" w:lineRule="exact"/>
        <w:ind w:left="1320" w:hanging="720"/>
      </w:pPr>
      <w:r w:rsidRPr="004211E7">
        <w:rPr>
          <w:color w:val="000000"/>
        </w:rPr>
        <w:t>Uczestnik łączący działalność w EJTN z inną działalnością zawodową lub prywatną otrzyma zwrot kosztów na podstawie kosztu tańszej podróży i z uwzględnieniem zasady unikania podwójnego finansowania.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33" w:line="298" w:lineRule="exact"/>
        <w:ind w:left="1320" w:hanging="720"/>
      </w:pPr>
      <w:r w:rsidRPr="004211E7">
        <w:rPr>
          <w:color w:val="000000"/>
        </w:rPr>
        <w:t>W zależności od wykorzystanego środka transportu, zwrot kosztów odbywa się w następujący sposób: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Podróż samolotem: koszt biletu w klasie ekonomicznej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Podróż koleją: koszt biletu pierwszej klasy na najkrótszą trasę podróży w obie strony;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Podróż samochodem: 0,22 euro za kilometr podróży w obie strony,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8555"/>
        </w:tabs>
        <w:spacing w:before="0"/>
        <w:ind w:left="1600" w:firstLine="0"/>
        <w:jc w:val="left"/>
      </w:pPr>
      <w:r w:rsidRPr="004211E7">
        <w:rPr>
          <w:color w:val="000000"/>
        </w:rPr>
        <w:t xml:space="preserve">z limitem 1200 km, przy czym odległość oblicza się w odniesieniu do najkrótszej trasy (mapowanie trasy przy pomocy Michelin / Google Internet Maps): km x 2 </w:t>
      </w:r>
      <w:r w:rsidRPr="004211E7">
        <w:rPr>
          <w:color w:val="000000"/>
        </w:rPr>
        <w:lastRenderedPageBreak/>
        <w:t>(wyjazd</w:t>
      </w:r>
      <w:r w:rsidR="00F45911">
        <w:rPr>
          <w:color w:val="000000"/>
        </w:rPr>
        <w:t xml:space="preserve"> – </w:t>
      </w:r>
      <w:r w:rsidRPr="004211E7">
        <w:rPr>
          <w:color w:val="000000"/>
        </w:rPr>
        <w:t>powrót) x 0,22 €/km =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Uczestnicy podróżujący prywatnym samochodem robią to na własne ryzyko. EJTN zrzeka się wszelkiej odpowiedzialności za wszelkie szkody lub wypadki, które mogą dotyczyć samochodu lub osób trzecich. W przypadku wspólnego korzystania z samochodu, koszty</w:t>
      </w:r>
    </w:p>
    <w:p w:rsidR="0031222D" w:rsidRPr="004211E7" w:rsidRDefault="0031222D" w:rsidP="0031222D">
      <w:pPr>
        <w:pStyle w:val="Teksttreci20"/>
        <w:shd w:val="clear" w:color="auto" w:fill="auto"/>
        <w:spacing w:before="0" w:line="322" w:lineRule="exact"/>
        <w:ind w:left="1880" w:firstLine="0"/>
      </w:pPr>
      <w:r w:rsidRPr="004211E7">
        <w:rPr>
          <w:color w:val="000000"/>
        </w:rPr>
        <w:t>transportu prywatnym samochodem zostaną zwrócone uczestnikowi wyznaczonemu do EJTN. Dotyczy to również wspólnego korzystania z taksówki.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1596"/>
        </w:tabs>
        <w:spacing w:before="0"/>
        <w:ind w:left="1600" w:hanging="280"/>
      </w:pPr>
      <w:r w:rsidRPr="004211E7">
        <w:rPr>
          <w:color w:val="000000"/>
        </w:rPr>
        <w:t>Z wyjątkiem wyraźnie zgłoszonych przypadków wcześniejszego wyjazdu i/lub późniejszego przyjazdu na imprezę, oraz w należycie uzasadnionych przypadkach ocenianych indywidualnie, koszty podróży lokalnych (np. taksówką itp.) nie podlegają zwrotowi. Podróże lokalne, które mają być pokrywane z diety pobytowej (per diem allowance) wypłacanej uczestnikom (patrz poniżej), mają miejsce w następujących przypadkach: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line="346" w:lineRule="exact"/>
        <w:ind w:left="1985" w:hanging="284"/>
      </w:pPr>
      <w:r w:rsidRPr="004211E7">
        <w:rPr>
          <w:color w:val="000000"/>
        </w:rPr>
        <w:t>Podróże po mieście, z którego uczestnik wyjeżdża.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line="346" w:lineRule="exact"/>
        <w:ind w:left="1985" w:hanging="284"/>
      </w:pPr>
      <w:r w:rsidRPr="004211E7">
        <w:rPr>
          <w:color w:val="000000"/>
        </w:rPr>
        <w:t>Podróże po mieście, do którego uczestnik przyjeżdża (gdzie odbywa się wydarzenie/impreza);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line="346" w:lineRule="exact"/>
        <w:ind w:left="1985" w:hanging="284"/>
      </w:pPr>
      <w:r w:rsidRPr="004211E7">
        <w:rPr>
          <w:color w:val="000000"/>
        </w:rPr>
        <w:t>Podróżuje w dowolnym mieście tranzytowym,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155"/>
        </w:tabs>
        <w:spacing w:before="0" w:after="296" w:line="326" w:lineRule="exact"/>
        <w:ind w:left="1985" w:hanging="284"/>
        <w:jc w:val="left"/>
      </w:pPr>
      <w:r w:rsidRPr="004211E7">
        <w:rPr>
          <w:color w:val="000000"/>
        </w:rPr>
        <w:t>Między lotniskiem a miastem, z którego uczestnik wyjeżdża, każdym miastem tranzytu i miastem, do którego uczestnik przyjeżdża.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 w:after="381"/>
        <w:ind w:left="1580" w:hanging="700"/>
      </w:pPr>
      <w:r w:rsidRPr="004211E7">
        <w:rPr>
          <w:color w:val="000000"/>
        </w:rPr>
        <w:t>Prawo do uzyskania zwrotu kosztów wygasa po wysłaniu uczestnikowi dwóch upomnień z prośbą o przedłożenie niezbędnych dokumentów, w przypadku nieotrzymania od niego informacji zwrotnych lub w przypadku braku działań z jego strony w terminie określonym w ostatnim upomnieniu.</w:t>
      </w:r>
    </w:p>
    <w:p w:rsidR="0031222D" w:rsidRPr="004211E7" w:rsidRDefault="0031222D" w:rsidP="0031222D">
      <w:pPr>
        <w:pStyle w:val="Teksttreci60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282" w:line="230" w:lineRule="exact"/>
        <w:ind w:left="1580" w:hanging="700"/>
      </w:pPr>
      <w:r w:rsidRPr="004211E7">
        <w:rPr>
          <w:color w:val="000000"/>
        </w:rPr>
        <w:t>Diety – postanowienia ogólne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Diety przysługują uczestnikom spotkań i wydarzeń/imprez EJTN odbywających się poza krajem ich zamieszkania.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Diety oblicza się na podstawie informacji podanych w formularzu rejestracyjnym i formularzu wniosku o zwrot kosztów, który musi wypełnić każdy finansowany uczestnik.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Załącznik 1 (tabela diet) wskazuje kwotę wypłacaną przez EJTN według kraju, w którym odbywa się wydarzenie/impreza</w:t>
      </w:r>
      <w:r w:rsidRPr="004211E7">
        <w:rPr>
          <w:color w:val="000000"/>
          <w:vertAlign w:val="superscript"/>
        </w:rPr>
        <w:footnoteReference w:id="1"/>
      </w:r>
      <w:r w:rsidRPr="004211E7">
        <w:rPr>
          <w:color w:val="000000"/>
        </w:rPr>
        <w:t>. Uznaje się, że diety pokrywają wszelkie wydatki uczestnika inne niż podróż w obie strony, o której mowa w art. 4 ust. 1, a mianowicie zakwaterowanie, wydatki różne, posiłki i podróże lokalne, zgodnie z art. 4 ust. 8.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 w:after="381"/>
        <w:ind w:left="1580" w:hanging="700"/>
      </w:pPr>
      <w:r w:rsidRPr="004211E7">
        <w:rPr>
          <w:color w:val="000000"/>
        </w:rPr>
        <w:t xml:space="preserve">W przypadku opłacenia lub zaoferowania wyżywienia lub innych wydatków, dietę </w:t>
      </w:r>
      <w:r w:rsidRPr="004211E7">
        <w:rPr>
          <w:color w:val="000000"/>
        </w:rPr>
        <w:lastRenderedPageBreak/>
        <w:t>obniża się albo do wysokości rzeczywistej podstawy kosztów, jeśli płatnikiem jest EJTN, albo zmniejszając ją o 15 euro za obiad i 25 euro za kolację, jeśli płatnikiem jest strona trzecia.</w:t>
      </w:r>
    </w:p>
    <w:p w:rsidR="0031222D" w:rsidRPr="004211E7" w:rsidRDefault="0031222D" w:rsidP="0031222D">
      <w:pPr>
        <w:pStyle w:val="Teksttreci60"/>
        <w:numPr>
          <w:ilvl w:val="0"/>
          <w:numId w:val="2"/>
        </w:numPr>
        <w:shd w:val="clear" w:color="auto" w:fill="auto"/>
        <w:tabs>
          <w:tab w:val="left" w:pos="1240"/>
        </w:tabs>
        <w:spacing w:before="0" w:after="287" w:line="230" w:lineRule="exact"/>
        <w:ind w:left="1580" w:hanging="700"/>
      </w:pPr>
      <w:r w:rsidRPr="004211E7">
        <w:rPr>
          <w:color w:val="000000"/>
        </w:rPr>
        <w:t>Metoda obliczania diet</w:t>
      </w:r>
    </w:p>
    <w:p w:rsidR="0031222D" w:rsidRPr="004211E7" w:rsidRDefault="0031222D" w:rsidP="000073B7">
      <w:pPr>
        <w:pStyle w:val="Teksttreci20"/>
        <w:numPr>
          <w:ilvl w:val="1"/>
          <w:numId w:val="2"/>
        </w:numPr>
        <w:shd w:val="clear" w:color="auto" w:fill="auto"/>
        <w:tabs>
          <w:tab w:val="left" w:pos="1582"/>
        </w:tabs>
        <w:spacing w:before="0"/>
        <w:ind w:left="1580" w:hanging="700"/>
      </w:pPr>
      <w:r w:rsidRPr="004211E7">
        <w:rPr>
          <w:color w:val="000000"/>
        </w:rPr>
        <w:t>Liczba diet, które należy wypłacić, jest równa liczbie nocy pomiędzy dniami, w których odbywa się wydarzenie</w:t>
      </w:r>
      <w:r w:rsidR="000073B7">
        <w:rPr>
          <w:color w:val="000000"/>
        </w:rPr>
        <w:t xml:space="preserve"> szkoleniowe</w:t>
      </w:r>
      <w:r w:rsidRPr="004211E7">
        <w:rPr>
          <w:color w:val="000000"/>
        </w:rPr>
        <w:t xml:space="preserve"> plus noc poprzedzająca imprezę (jeśli jest to uzasadnione). Ostatni dzień</w:t>
      </w:r>
      <w:r w:rsidR="000073B7">
        <w:t xml:space="preserve"> </w:t>
      </w:r>
      <w:r w:rsidR="000073B7">
        <w:rPr>
          <w:color w:val="000000"/>
        </w:rPr>
        <w:t>wydarzenia szkoleniowego</w:t>
      </w:r>
      <w:r w:rsidRPr="000073B7">
        <w:rPr>
          <w:color w:val="000000"/>
        </w:rPr>
        <w:t xml:space="preserve"> uprawnia do połowy (1/2) di</w:t>
      </w:r>
      <w:r w:rsidR="000073B7">
        <w:rPr>
          <w:color w:val="000000"/>
        </w:rPr>
        <w:t xml:space="preserve">ety. To samo dotyczy szkolenia trwającego </w:t>
      </w:r>
      <w:r w:rsidRPr="000073B7">
        <w:rPr>
          <w:color w:val="000000"/>
        </w:rPr>
        <w:t>jeden (1) dzień. Jednak</w:t>
      </w:r>
      <w:r w:rsidR="004211E7" w:rsidRPr="000073B7">
        <w:rPr>
          <w:color w:val="000000"/>
        </w:rPr>
        <w:t xml:space="preserve"> </w:t>
      </w:r>
      <w:r w:rsidRPr="000073B7">
        <w:rPr>
          <w:color w:val="000000"/>
        </w:rPr>
        <w:t xml:space="preserve">za dzień </w:t>
      </w:r>
      <w:r w:rsidR="000073B7">
        <w:rPr>
          <w:color w:val="000000"/>
        </w:rPr>
        <w:t>szkolenia jednodniowego</w:t>
      </w:r>
      <w:r w:rsidRPr="000073B7">
        <w:rPr>
          <w:color w:val="000000"/>
        </w:rPr>
        <w:t xml:space="preserve"> zostanie wypłacona pełna dieta, jeśli, przed podjęciem jakiegokolwiek zobowiązania finansowego, uczestnik wykaże, że nie może powrócić tego samego dnia, w którym kończy się spotkanie z powodu niedostępności transportu.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after="385" w:line="336" w:lineRule="exact"/>
        <w:ind w:left="1580" w:hanging="720"/>
        <w:jc w:val="left"/>
      </w:pPr>
      <w:r w:rsidRPr="004211E7">
        <w:rPr>
          <w:color w:val="000000"/>
        </w:rPr>
        <w:t>Długość pobytu za granicą ustala się na podstawie dokumentów dostarczonych przez uczestnika zgodnie z art. 8 ust. 3 poniżej.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342" w:line="230" w:lineRule="exact"/>
        <w:ind w:left="1580"/>
      </w:pPr>
      <w:bookmarkStart w:id="6" w:name="bookmark6"/>
      <w:r w:rsidRPr="004211E7">
        <w:rPr>
          <w:color w:val="000000"/>
        </w:rPr>
        <w:t>Specjalne sytuacje dotyczące podróży i diet</w:t>
      </w:r>
      <w:bookmarkEnd w:id="6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 xml:space="preserve">W szczególnych okolicznościach, o których uczestnicy zostaną wcześniej poinformowani, i według uznania Sekretarza Generalnego, diety wszystkich finansowanych delegatów, których wydatki byłyby ustawowo pokrywane przez EJTN, mogą zostać zastąpione, w całości lub w części, bezpośrednią płatnością EJTN na rzecz dostawcy usług zakwaterowania, </w:t>
      </w:r>
      <w:r w:rsidR="004211E7" w:rsidRPr="004211E7">
        <w:rPr>
          <w:color w:val="000000"/>
        </w:rPr>
        <w:t>cateringowych</w:t>
      </w:r>
      <w:r w:rsidRPr="004211E7">
        <w:rPr>
          <w:color w:val="000000"/>
        </w:rPr>
        <w:t xml:space="preserve"> i/lub innych usług. W takich przypadkach, diety uczestników, którzy zdecydują się skorzystać z usług innych dostawców, mogą zostać anulowane lub częściowo obniżone.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>Uczestnicy zamieszkali w kraju, w którym odbywa się wydarzenie/impreza i w takim stopniu, w jakim ich wydatki nie są pokrywane przez instytucję krajową, będą uprawnieni do zwrotu kosztów podróży do limitu 200 euro i do zwrotu dziennych wydatków z uwagi na udział w spotkaniu do maksymalnej wysokości diety i na podstawie ich rzeczywistych kosztów oraz po przedstawieniu należycie uzasadnionych rachunków dostarczonych przez uczestnika lub faktury wystawionej organizatorowi.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line="302" w:lineRule="exact"/>
        <w:ind w:left="1580" w:hanging="720"/>
      </w:pPr>
      <w:r w:rsidRPr="004211E7">
        <w:rPr>
          <w:color w:val="000000"/>
        </w:rPr>
        <w:t>Uczestnicy o ograniczonej sprawności ruchowej mogą skorzystać ze zwrotu dodatkowych kosztów na udokumentowany wniosek, który zostanie oceniony przez Sekretarza Generalnego indywidualnie dla każdego przypadku.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after="381"/>
        <w:ind w:left="1580" w:hanging="720"/>
      </w:pPr>
      <w:r w:rsidRPr="004211E7">
        <w:rPr>
          <w:color w:val="000000"/>
        </w:rPr>
        <w:t>Przy obliczaniu diet, udział w kolejnych spotkaniach lub działaniach jest traktowany tak, jakby stanowiły one jedno spotkanie.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18"/>
        </w:tabs>
        <w:spacing w:before="0" w:after="346" w:line="230" w:lineRule="exact"/>
        <w:ind w:left="1580"/>
      </w:pPr>
      <w:bookmarkStart w:id="7" w:name="bookmark7"/>
      <w:r w:rsidRPr="004211E7">
        <w:rPr>
          <w:color w:val="000000"/>
        </w:rPr>
        <w:t>Procedura płatności</w:t>
      </w:r>
      <w:bookmarkEnd w:id="7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 w:line="307" w:lineRule="exact"/>
        <w:ind w:left="1580" w:hanging="720"/>
      </w:pPr>
      <w:r w:rsidRPr="004211E7">
        <w:rPr>
          <w:color w:val="000000"/>
        </w:rPr>
        <w:t>Płatność diet i zwrot kosztów podróży są dokonywane w jednej racie po zakończeniu wydarzenia/imprezy, po przedłożeniu dokumentów wymienionych w art. 8 ust. 3 poniżej.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>W szczególnych, odpowiednio uzasadnionych przypadkach, Sekretarz Generalny jest uprawniony do dopuszczenia wypłaty zaliczki na rzecz uczestnika w wysokości określonego procentu oczekiwanej diety.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76"/>
        </w:tabs>
        <w:spacing w:before="0"/>
        <w:ind w:left="1580" w:hanging="720"/>
      </w:pPr>
      <w:r w:rsidRPr="004211E7">
        <w:rPr>
          <w:color w:val="000000"/>
        </w:rPr>
        <w:t>Płatności nie będą dokonywane bez przedłożenia następujących dokumentów do Sekretariatu EJTN:</w:t>
      </w:r>
    </w:p>
    <w:p w:rsidR="0031222D" w:rsidRPr="004211E7" w:rsidRDefault="0031222D" w:rsidP="0031222D">
      <w:pPr>
        <w:pStyle w:val="Teksttreci20"/>
        <w:numPr>
          <w:ilvl w:val="0"/>
          <w:numId w:val="5"/>
        </w:numPr>
        <w:shd w:val="clear" w:color="auto" w:fill="auto"/>
        <w:tabs>
          <w:tab w:val="left" w:pos="2270"/>
        </w:tabs>
        <w:spacing w:before="0"/>
        <w:ind w:left="1860" w:firstLine="0"/>
      </w:pPr>
      <w:r w:rsidRPr="004211E7">
        <w:rPr>
          <w:color w:val="000000"/>
        </w:rPr>
        <w:t>formularz rejestracyjny (przed imprezą)</w:t>
      </w:r>
    </w:p>
    <w:p w:rsidR="0031222D" w:rsidRPr="004211E7" w:rsidRDefault="0031222D" w:rsidP="0031222D">
      <w:pPr>
        <w:pStyle w:val="Teksttreci20"/>
        <w:numPr>
          <w:ilvl w:val="0"/>
          <w:numId w:val="5"/>
        </w:numPr>
        <w:shd w:val="clear" w:color="auto" w:fill="auto"/>
        <w:tabs>
          <w:tab w:val="left" w:pos="2270"/>
        </w:tabs>
        <w:spacing w:before="0"/>
        <w:ind w:left="1860" w:firstLine="0"/>
      </w:pPr>
      <w:r w:rsidRPr="004211E7">
        <w:rPr>
          <w:color w:val="000000"/>
        </w:rPr>
        <w:t>formularz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5"/>
        </w:numPr>
        <w:shd w:val="clear" w:color="auto" w:fill="auto"/>
        <w:tabs>
          <w:tab w:val="left" w:pos="2270"/>
        </w:tabs>
        <w:spacing w:before="0"/>
        <w:ind w:left="1860" w:firstLine="0"/>
      </w:pPr>
      <w:r w:rsidRPr="004211E7">
        <w:rPr>
          <w:color w:val="000000"/>
        </w:rPr>
        <w:t>następujące dokumenty podróży w zależności od środka transportu</w:t>
      </w:r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860" w:firstLine="0"/>
      </w:pPr>
      <w:r w:rsidRPr="004211E7">
        <w:rPr>
          <w:color w:val="000000"/>
        </w:rPr>
        <w:t>:</w:t>
      </w:r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860" w:firstLine="0"/>
      </w:pPr>
      <w:r w:rsidRPr="004211E7">
        <w:rPr>
          <w:color w:val="000000"/>
        </w:rPr>
        <w:t>- Jeżeli uczestnik podróżował samolotem: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86"/>
        </w:tabs>
        <w:spacing w:before="0" w:line="336" w:lineRule="exact"/>
        <w:ind w:left="2380" w:hanging="280"/>
      </w:pPr>
      <w:r w:rsidRPr="004211E7">
        <w:rPr>
          <w:color w:val="000000"/>
        </w:rPr>
        <w:t>faktura wystawiona przez linie lotnicze lub biuro podróży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1"/>
        </w:tabs>
        <w:spacing w:before="0" w:line="336" w:lineRule="exact"/>
        <w:ind w:left="2380" w:hanging="280"/>
      </w:pPr>
      <w:r w:rsidRPr="004211E7">
        <w:rPr>
          <w:color w:val="000000"/>
        </w:rPr>
        <w:t>kopia biletu lotniczego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1"/>
        </w:tabs>
        <w:spacing w:before="0" w:line="336" w:lineRule="exact"/>
        <w:ind w:left="2380" w:hanging="280"/>
      </w:pPr>
      <w:r w:rsidRPr="004211E7">
        <w:rPr>
          <w:b/>
        </w:rPr>
        <w:t>oryginał wszystkich kart pokładowych</w:t>
      </w:r>
      <w:r w:rsidRPr="004211E7">
        <w:t xml:space="preserve"> (z wyjątkiem kart wystawionych w formie elektronicznej) dotyczących podróży lub zaświadczenie wydane przez linie lotnicze, że bilet został wykorzystany.</w:t>
      </w:r>
      <w:r w:rsidRPr="004211E7">
        <w:rPr>
          <w:color w:val="000000"/>
        </w:rPr>
        <w:t xml:space="preserve"> Mobilne karty pokładowe należy wydrukować i dołączyć do wniosku o zwrot kosztów.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086"/>
        </w:tabs>
        <w:spacing w:before="0" w:line="336" w:lineRule="exact"/>
        <w:ind w:left="1800" w:firstLine="0"/>
      </w:pPr>
      <w:r w:rsidRPr="004211E7">
        <w:rPr>
          <w:color w:val="000000"/>
        </w:rPr>
        <w:t>Jeżeli uczestnik podróżował pociągiem: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6"/>
        </w:tabs>
        <w:spacing w:before="0" w:line="336" w:lineRule="exact"/>
        <w:ind w:left="2380" w:hanging="280"/>
      </w:pPr>
      <w:r w:rsidRPr="004211E7">
        <w:rPr>
          <w:color w:val="000000"/>
        </w:rPr>
        <w:t>faktura wystawiona przez przedsiębiorstwo kolejowe (jeśli ma to zastosowanie)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6"/>
        </w:tabs>
        <w:spacing w:before="0" w:line="336" w:lineRule="exact"/>
        <w:ind w:left="2380" w:hanging="280"/>
      </w:pPr>
      <w:r w:rsidRPr="004211E7">
        <w:rPr>
          <w:b/>
        </w:rPr>
        <w:t>oryginał</w:t>
      </w:r>
      <w:r w:rsidRPr="004211E7">
        <w:t xml:space="preserve"> biletów kolejowych.</w:t>
      </w:r>
      <w:r w:rsidRPr="004211E7">
        <w:rPr>
          <w:color w:val="000000"/>
        </w:rPr>
        <w:t xml:space="preserve"> Mobilny bilet kolejowy należy wydrukować i dołączyć do wniosku o zwrot kosztów.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086"/>
        </w:tabs>
        <w:spacing w:before="0" w:line="336" w:lineRule="exact"/>
        <w:ind w:left="1800" w:firstLine="0"/>
      </w:pPr>
      <w:r w:rsidRPr="004211E7">
        <w:rPr>
          <w:color w:val="000000"/>
        </w:rPr>
        <w:t>Jeżeli uczestnik podróżował prywatnym samochodem: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396"/>
        </w:tabs>
        <w:spacing w:before="0"/>
        <w:ind w:left="2380" w:hanging="280"/>
      </w:pPr>
      <w:r w:rsidRPr="004211E7">
        <w:rPr>
          <w:color w:val="000000"/>
        </w:rPr>
        <w:t>mapowanie trasy i szczegółowe informacje na temat podróży, której dotyczą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7449"/>
        </w:tabs>
        <w:spacing w:before="0"/>
        <w:ind w:left="2380" w:firstLine="0"/>
      </w:pPr>
      <w:r w:rsidRPr="004211E7">
        <w:t>obliczenia z limitem do 1 200 km, przy czym odległość oblicza się według najkrótszej trasy (mapowanie trasy przy pomocy Michelin / Google Internet Maps): km x 2 (wyjazd</w:t>
      </w:r>
      <w:r w:rsidR="00F45911">
        <w:t xml:space="preserve"> – </w:t>
      </w:r>
      <w:r w:rsidRPr="004211E7">
        <w:t xml:space="preserve">powrót) x </w:t>
      </w:r>
      <w:r w:rsidRPr="004211E7">
        <w:rPr>
          <w:rStyle w:val="Teksttreci2Odstpy1pt"/>
          <w:spacing w:val="0"/>
        </w:rPr>
        <w:t>0,22 €/km</w:t>
      </w:r>
      <w:r w:rsidRPr="004211E7">
        <w:t xml:space="preserve"> =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596"/>
        </w:tabs>
        <w:spacing w:before="0"/>
        <w:ind w:firstLine="0"/>
        <w:rPr>
          <w:rStyle w:val="PogrubienieTeksttreci226ptOdstpy0pt"/>
          <w:b w:val="0"/>
          <w:bCs w:val="0"/>
          <w:color w:val="auto"/>
          <w:spacing w:val="0"/>
          <w:sz w:val="22"/>
          <w:szCs w:val="22"/>
          <w:shd w:val="clear" w:color="auto" w:fill="auto"/>
        </w:rPr>
      </w:pP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bookmarkStart w:id="8" w:name="bookmark9"/>
      <w:r w:rsidRPr="004211E7">
        <w:rPr>
          <w:rStyle w:val="PogrubienieTeksttreci226ptOdstpy0pt"/>
          <w:spacing w:val="0"/>
          <w:sz w:val="28"/>
        </w:rPr>
        <w:t>III</w:t>
      </w:r>
    </w:p>
    <w:p w:rsidR="0031222D" w:rsidRPr="004211E7" w:rsidRDefault="0031222D" w:rsidP="0031222D">
      <w:pPr>
        <w:pStyle w:val="Akapitzlist"/>
        <w:ind w:left="0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PROGRAM WYMIANY (WYMIANY, AIAKOS I WIZYTY STUDYJNE ...)</w:t>
      </w:r>
      <w:bookmarkEnd w:id="8"/>
    </w:p>
    <w:p w:rsidR="0031222D" w:rsidRPr="004211E7" w:rsidRDefault="0031222D" w:rsidP="0031222D">
      <w:pPr>
        <w:pStyle w:val="Akapitzlist"/>
        <w:ind w:left="0"/>
        <w:rPr>
          <w:rStyle w:val="PogrubienieTeksttreci226ptOdstpy0pt"/>
          <w:spacing w:val="0"/>
          <w:sz w:val="34"/>
          <w:szCs w:val="34"/>
        </w:rPr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88"/>
        </w:tabs>
        <w:spacing w:before="0" w:after="337" w:line="230" w:lineRule="exact"/>
        <w:ind w:left="1540"/>
      </w:pPr>
      <w:bookmarkStart w:id="9" w:name="bookmark10"/>
      <w:r w:rsidRPr="004211E7">
        <w:rPr>
          <w:color w:val="000000"/>
        </w:rPr>
        <w:t>Postanowienia ogólne</w:t>
      </w:r>
      <w:bookmarkEnd w:id="9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27"/>
        </w:tabs>
        <w:spacing w:before="0"/>
        <w:ind w:left="1540" w:hanging="720"/>
      </w:pPr>
      <w:r w:rsidRPr="004211E7">
        <w:rPr>
          <w:color w:val="000000"/>
        </w:rPr>
        <w:t>Wszystkie powyższe zasady regulujące zwrot kosztów podróży i wypłatę diet w związku ze spotkaniami i szkoleniami będą miały zastosowanie do działań w ramach Programu Wymiany, chyba że poniżej określono inaczej.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27"/>
        </w:tabs>
        <w:spacing w:before="0" w:after="381"/>
        <w:ind w:left="1540" w:hanging="720"/>
      </w:pPr>
      <w:r w:rsidRPr="004211E7">
        <w:rPr>
          <w:color w:val="000000"/>
        </w:rPr>
        <w:t>Udział w wszelkiego rodzaju działaniach w ramach Programu Wymiany organizowanych przez EJTN jest regulowany przez odpowiedni zestaw zasad określonych przez grupę roboczą ds. Programu Wymiany.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337" w:line="230" w:lineRule="exact"/>
        <w:ind w:left="1540"/>
      </w:pPr>
      <w:bookmarkStart w:id="10" w:name="bookmark11"/>
      <w:r w:rsidRPr="004211E7">
        <w:rPr>
          <w:color w:val="000000"/>
        </w:rPr>
        <w:t>Koszty podróży</w:t>
      </w:r>
      <w:bookmarkEnd w:id="10"/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540" w:hanging="720"/>
      </w:pPr>
      <w:r w:rsidRPr="004211E7">
        <w:rPr>
          <w:color w:val="000000"/>
        </w:rPr>
        <w:t>W przypadku wyjazdów w ramach wymiany lub wizyt studyjnych uprawniających uczestnika do co najmniej 11 pełnych diet pobytowych,</w:t>
      </w:r>
    </w:p>
    <w:p w:rsidR="0031222D" w:rsidRPr="004211E7" w:rsidRDefault="0031222D" w:rsidP="0031222D">
      <w:pPr>
        <w:pStyle w:val="Teksttreci20"/>
        <w:shd w:val="clear" w:color="auto" w:fill="auto"/>
        <w:spacing w:before="0"/>
        <w:ind w:left="1540" w:hanging="720"/>
      </w:pPr>
      <w:r w:rsidRPr="004211E7">
        <w:rPr>
          <w:color w:val="000000"/>
        </w:rPr>
        <w:t>koszty podróży nie podlegają zwrotowi, ponieważ odpowiednia kwota jest włączona do</w:t>
      </w:r>
    </w:p>
    <w:p w:rsidR="0031222D" w:rsidRPr="004211E7" w:rsidRDefault="0031222D" w:rsidP="0031222D">
      <w:pPr>
        <w:pStyle w:val="Teksttreci20"/>
        <w:shd w:val="clear" w:color="auto" w:fill="auto"/>
        <w:spacing w:before="0" w:after="381"/>
        <w:ind w:left="1540" w:hanging="720"/>
      </w:pPr>
      <w:r w:rsidRPr="004211E7">
        <w:rPr>
          <w:color w:val="000000"/>
        </w:rPr>
        <w:t>zintegrowanej stawki pełnej diety dziennej.</w:t>
      </w: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298"/>
        </w:tabs>
        <w:spacing w:before="0" w:after="337" w:line="230" w:lineRule="exact"/>
        <w:ind w:left="1540"/>
      </w:pPr>
      <w:bookmarkStart w:id="11" w:name="bookmark12"/>
      <w:r w:rsidRPr="004211E7">
        <w:rPr>
          <w:color w:val="000000"/>
        </w:rPr>
        <w:t>Diety dzienne (per diem)</w:t>
      </w:r>
      <w:bookmarkEnd w:id="11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560"/>
        </w:tabs>
        <w:spacing w:before="0" w:line="336" w:lineRule="exact"/>
        <w:ind w:left="1560" w:hanging="709"/>
      </w:pPr>
      <w:r w:rsidRPr="004211E7">
        <w:rPr>
          <w:color w:val="000000"/>
        </w:rPr>
        <w:t xml:space="preserve">W załączniku 1 (tabela diet) podano kwoty diet dziennych, mające zastosowanie do każdej wymiany, AIAKOS i każdej wizyty studyjnej, która uprawnia uczestnika do mniej niż 7 pełnych diet pobytowych i podano kwoty diet dziennych wypłacanych przez EJTN w zależności od </w:t>
      </w:r>
      <w:r w:rsidR="004211E7" w:rsidRPr="004211E7">
        <w:rPr>
          <w:color w:val="000000"/>
        </w:rPr>
        <w:t>kraju,</w:t>
      </w:r>
      <w:r w:rsidRPr="004211E7">
        <w:rPr>
          <w:color w:val="000000"/>
        </w:rPr>
        <w:t xml:space="preserve"> gdzie wydarzenie/impreza ma miejsce. Uznaje się, że diety pokrywają wszelkie wydatki uczestnika inne niż podróż w obie strony, o której mowa w art. 4 ust. 1, a mianowicie zakwaterowanie, wydatki różne, posiłki i podróże lokalne, zgodnie z art. 4 ust. 8.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załączniku 1 (tabela diet) podano kwoty diet dziennych, mające zastosowanie do każdej wymiany i wizyt studyjnych, które – zgodnie z zasadami ich przyznawania – uprawniają uczestnika do co najmniej 11</w:t>
      </w:r>
      <w:r w:rsidRPr="004211E7">
        <w:rPr>
          <w:color w:val="000000"/>
          <w:vertAlign w:val="superscript"/>
        </w:rPr>
        <w:footnoteReference w:id="2"/>
      </w:r>
      <w:r w:rsidRPr="004211E7">
        <w:rPr>
          <w:color w:val="000000"/>
        </w:rPr>
        <w:t>, ale nie więcej niż 13 pełnych diet dziennych. Wskazana kwota diety, która ma zostać przyznana, ma pokryć wszystkie koszty podróży, w tym koszty podróży międzynarodowych, a także zakwaterowanie, wyżywienie i różne wydatki, i zostanie wypłacona zgodnie z krajem, w którym odbywa się dane działanie</w:t>
      </w:r>
      <w:r w:rsidRPr="004211E7">
        <w:rPr>
          <w:color w:val="000000"/>
          <w:vertAlign w:val="superscript"/>
        </w:rPr>
        <w:footnoteReference w:id="3"/>
      </w:r>
      <w:r w:rsidRPr="004211E7">
        <w:rPr>
          <w:color w:val="000000"/>
        </w:rPr>
        <w:t>.</w:t>
      </w:r>
    </w:p>
    <w:p w:rsidR="0031222D" w:rsidRPr="004211E7" w:rsidRDefault="0031222D" w:rsidP="0031222D">
      <w:pPr>
        <w:pStyle w:val="Teksttreci20"/>
        <w:shd w:val="clear" w:color="auto" w:fill="auto"/>
        <w:spacing w:before="0" w:line="336" w:lineRule="exact"/>
        <w:ind w:left="1640" w:firstLine="0"/>
        <w:jc w:val="left"/>
      </w:pPr>
      <w:r w:rsidRPr="004211E7">
        <w:rPr>
          <w:color w:val="000000"/>
        </w:rPr>
        <w:t>W przypadku wymiany trwającej 3 miesiące lub dłużej przysługuje niezmienna stawka diety dziennej w wysokości 120 euro za dzień przed wydarzeniem/imprezą (jeśli jest to uzasadnione), za pełne dni robocze i weekendy, niezależnie od kraju, w którym mają miejsce działania w ramach wymiany.</w:t>
      </w:r>
    </w:p>
    <w:p w:rsidR="0031222D" w:rsidRPr="004211E7" w:rsidRDefault="0031222D" w:rsidP="0031222D">
      <w:pPr>
        <w:pStyle w:val="Teksttreci20"/>
        <w:shd w:val="clear" w:color="auto" w:fill="auto"/>
        <w:spacing w:before="0" w:after="693" w:line="336" w:lineRule="exact"/>
        <w:ind w:left="1640" w:firstLine="0"/>
        <w:jc w:val="left"/>
      </w:pPr>
      <w:r w:rsidRPr="004211E7">
        <w:rPr>
          <w:color w:val="000000"/>
        </w:rPr>
        <w:t>Dieta obejmuje koszty podróży, o których mowa w wyżej wymienionym art. 4.</w:t>
      </w:r>
    </w:p>
    <w:p w:rsidR="0031222D" w:rsidRPr="004211E7" w:rsidRDefault="0031222D" w:rsidP="0031222D">
      <w:pPr>
        <w:pStyle w:val="Teksttreci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284" w:line="220" w:lineRule="exact"/>
        <w:ind w:left="1640" w:hanging="700"/>
      </w:pPr>
      <w:r w:rsidRPr="004211E7">
        <w:rPr>
          <w:color w:val="000000"/>
        </w:rPr>
        <w:t>Metoda obliczania diet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/>
        <w:ind w:left="1640" w:hanging="700"/>
      </w:pPr>
      <w:r w:rsidRPr="004211E7">
        <w:rPr>
          <w:color w:val="000000"/>
        </w:rPr>
        <w:t>Liczba diet, które należy wypłacić, jest równa liczbie nocy pomiędzy dniami, w których odbywa się impreza plus noc poprzedzająca imprezę (jeśli jest to uzasadnione). Ostatni dzień imprezy uprawnia do połowy (1/2) diety. To samo dotyczy wydarzenia/imprezy trwającej jeden (1) dzień. Jednak</w:t>
      </w:r>
      <w:r w:rsidR="004211E7" w:rsidRPr="004211E7">
        <w:rPr>
          <w:color w:val="000000"/>
        </w:rPr>
        <w:t xml:space="preserve"> </w:t>
      </w:r>
      <w:r w:rsidRPr="004211E7">
        <w:rPr>
          <w:color w:val="000000"/>
        </w:rPr>
        <w:t>za ostatni dzień imprezy / za imprezę jednodniową zostanie wypłacona pełna dieta, jeśli, przed podjęciem jakiegokolwiek zobowiązania finansowego, uczestnik wykaże, że nie może powrócić tego samego dnia, w którym kończy się spotkanie z powodu niedostępności transportu.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/>
        <w:ind w:left="1640" w:hanging="700"/>
      </w:pPr>
      <w:r w:rsidRPr="004211E7">
        <w:rPr>
          <w:color w:val="000000"/>
        </w:rPr>
        <w:t>Długość pobytu za granicą ustala się na podstawie dokumentów dostarczonych przez uczestnika zgodnie z art. 15 ust. 1 i 2 poniżej. Gdy dowody te odnoszą się do zaświadczenia o uczestnictwie, ostatnim opłacanym dniem będzie dzień, w którym wymiana się zakończy.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after="389"/>
        <w:ind w:left="1640" w:hanging="700"/>
      </w:pPr>
      <w:r w:rsidRPr="004211E7">
        <w:rPr>
          <w:color w:val="000000"/>
        </w:rPr>
        <w:t>W każdym razie liczba wypłaconych diet nie może przekroczyć pełnych 13 za wymianę dwutygodniową i pełnych 6 za wymianę jednotygodniową.</w:t>
      </w:r>
    </w:p>
    <w:p w:rsidR="0031222D" w:rsidRPr="004211E7" w:rsidRDefault="0031222D" w:rsidP="0031222D">
      <w:pPr>
        <w:pStyle w:val="Teksttreci20"/>
        <w:numPr>
          <w:ilvl w:val="0"/>
          <w:numId w:val="2"/>
        </w:numPr>
        <w:shd w:val="clear" w:color="auto" w:fill="auto"/>
        <w:tabs>
          <w:tab w:val="left" w:pos="1354"/>
        </w:tabs>
        <w:spacing w:before="0" w:after="280" w:line="220" w:lineRule="exact"/>
        <w:ind w:left="1640" w:hanging="700"/>
      </w:pPr>
      <w:r w:rsidRPr="004211E7">
        <w:rPr>
          <w:color w:val="000000"/>
        </w:rPr>
        <w:t>Procedura płatności za wymianę trwającą krócej niż trzy miesiące i za wizyty studyjne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Kwoty należne z tytułu wymiany trwającej krócej niż trzy miesiące i dłużej niż jeden tydzień (5 dni roboczych) będą wypłacane w dwóch ratach. To samo dotyczy zagranicznych uczestników programu AIAKOS. Kwoty należne z tytułu wymiany i wizyt studyjnych trwających jeden tydzień (5 dni roboczych) zostaną wypłacone w jednej racie w terminie 2 miesięcy po zakończeniu wymiany i po otrzymaniu przez EJTN kompletnej dokumentacji od uczestnika w wyznaczonym terminie.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szczególnych, odpowiednio uzasadnionych przypadkach, Sekretarz Generalny jest uprawniony do dopuszczenia wypłaty na rzecz uczestnika pierwszej raty, uważanej za zaliczkę na przewidywane wydatki, w wysokości odpowiadającej 70% oczekiwanych kwot należnych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przypadku dwóch rat, pierwsza z nich jest uważana za zaliczkę na przewidywane wydatki i będzie odpowiadać 70% oczekiwanych kwot należnych z tytułu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Kwota ta zostanie wpłacona na rachunek bankowy wskazany w formularzu rejestracyjnym przedłożonym przez uczestnika, średnio dwa tygodnie przed rozpoczęciem wymiany.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terminie 2 miesięcy po zakończeniu wymiany i po otrzymaniu przez EJTN niezbędnych dokumentów wskazanych poniżej, zostanie dokonana płatność końcowa. Kwota płatności końcowej będzie odpowiadać 30% całkowitej kwoty diet należnych i ewentualnych kosztów podróży.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630"/>
        </w:tabs>
        <w:spacing w:before="0" w:line="336" w:lineRule="exact"/>
        <w:ind w:left="1640" w:hanging="700"/>
      </w:pPr>
      <w:r w:rsidRPr="004211E7">
        <w:rPr>
          <w:color w:val="000000"/>
        </w:rPr>
        <w:t>W przypadkach wymienionych powyżej, w których przewidziano autonomiczną płatność z tytułu kosztów podróży, uczestnicy powinni wyraźnie zaznaczyć w swoich formularzach wniosków o zwrot kosztów, jeśli jakaś instytucja krajowa zapewniła im bilety podróżne. W określonych przypadkach, EJTN zwróci koszty podróży odpowiedniemu podmiotowi krajowemu, ale uczestnik powinien przedstawić dokumenty wskazane poniżej jako dowód odbycia podróży.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630"/>
        </w:tabs>
        <w:spacing w:before="0" w:line="336" w:lineRule="exact"/>
        <w:ind w:left="1640" w:firstLine="0"/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287" w:line="230" w:lineRule="exact"/>
        <w:ind w:left="1460" w:hanging="700"/>
      </w:pPr>
      <w:bookmarkStart w:id="12" w:name="bookmark13"/>
      <w:r w:rsidRPr="004211E7">
        <w:rPr>
          <w:color w:val="000000"/>
        </w:rPr>
        <w:t>Procedura płatności za wymianę trwającą trzy miesiące lub dłużej (długoterminową)</w:t>
      </w:r>
      <w:bookmarkEnd w:id="12"/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Kwoty należne z tytułu wymiany trwającej trzy miesiące lub dłużej będą wypłacane w pierwszej racie przed wymianą, w ratach miesięcznych, w stosownych przypadkach w ratach pośrednich, a ostatnia płatność będzie mieć miejsce po zakończeniu wymiany.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Pierwsza rata jest uważana za zaliczkę na przewidywane wydatki i będzie odpowiadać 100% oczekiwanych kwot należnych za pierwsze dwa miesiące z tytułu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Kwota ta zostanie wpłacona na rachunek bankowy wskazany w formularzu rejestracyjnym przedłożonym przez uczestnika, średnio dwa tygodnie przed rozpoczęciem wymiany. EJTN powiadomi uczestnika niezwłocznie po dokonaniu tej płatności.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Kolejne raty będą wypłacane co miesiąc, średnio na tydzień przed początkiem miesiąca, i będą odpowiadały 70% oczekiwanych kwot miesięcznych z tytułu diet.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Rata pośrednia zostanie wypłacona po otrzymaniu raportu okresowego i będzie odpowiadać pozostałej części 30% całkowitych kwot diet należnych przed tym terminem.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/>
        <w:ind w:left="1701" w:hanging="941"/>
      </w:pPr>
      <w:r w:rsidRPr="004211E7">
        <w:rPr>
          <w:color w:val="000000"/>
        </w:rPr>
        <w:t>W terminie 2 miesięcy po zakończeniu wymiany i po otrzymaniu przez EJTN niezbędnych dokumentów wskazanych poniżej, zostanie dokonana płatność końcowa. Kwota płatności końcowej będzie odpowiadać pozostałej części pozostałych 30 % całkowitych kwot należnych diet.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1456"/>
        </w:tabs>
        <w:spacing w:before="0"/>
        <w:ind w:left="1460" w:firstLine="0"/>
      </w:pPr>
    </w:p>
    <w:p w:rsidR="0031222D" w:rsidRPr="004211E7" w:rsidRDefault="0031222D" w:rsidP="0031222D">
      <w:pPr>
        <w:pStyle w:val="Nagwek220"/>
        <w:keepNext/>
        <w:keepLines/>
        <w:numPr>
          <w:ilvl w:val="0"/>
          <w:numId w:val="2"/>
        </w:numPr>
        <w:shd w:val="clear" w:color="auto" w:fill="auto"/>
        <w:tabs>
          <w:tab w:val="left" w:pos="1174"/>
        </w:tabs>
        <w:spacing w:before="0" w:after="287" w:line="230" w:lineRule="exact"/>
        <w:ind w:left="1460" w:hanging="700"/>
      </w:pPr>
      <w:r w:rsidRPr="004211E7">
        <w:rPr>
          <w:color w:val="000000"/>
        </w:rPr>
        <w:t>Wymagane dokumenty</w:t>
      </w:r>
    </w:p>
    <w:p w:rsidR="0031222D" w:rsidRPr="004211E7" w:rsidRDefault="0031222D" w:rsidP="0031222D">
      <w:pPr>
        <w:pStyle w:val="Teksttreci20"/>
        <w:shd w:val="clear" w:color="auto" w:fill="auto"/>
        <w:spacing w:before="0" w:after="345" w:line="220" w:lineRule="exact"/>
        <w:ind w:left="1300" w:firstLine="0"/>
      </w:pPr>
      <w:r w:rsidRPr="004211E7">
        <w:rPr>
          <w:color w:val="000000"/>
        </w:rPr>
        <w:t>Wymagane dokumenty to: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1701"/>
        </w:tabs>
        <w:spacing w:before="0" w:line="336" w:lineRule="exact"/>
        <w:ind w:left="1701" w:hanging="992"/>
        <w:jc w:val="left"/>
      </w:pPr>
      <w:r w:rsidRPr="004211E7">
        <w:rPr>
          <w:color w:val="000000"/>
        </w:rPr>
        <w:t>W przypadku wymiany i wizyt studyjnych uprawniających uczestnika do mniej niż 7 pełnych diet: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sprawozdanie z wymiany i jego streszczenie w języku angielskim lub francuskim, jeśli to możliwe (z wyjątkiem uczestników wizyt studyjnych)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formularz oceny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formularz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rPr>
          <w:color w:val="000000"/>
        </w:rPr>
        <w:t>następujące dokumenty podróży w zależności od zastosowanego środka transportu: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t>Jeżeli uczestnik podróżował samolotem: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kopia biletu lotniczego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faktura z biura podróży lub linii lotniczych (tylko jeśli na bilecie nie jest wyraźnie podana żądana kwota)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karty pokładowe dotyczące podróży lub zaświadczenie wydane przez linie lotnicze, że bilet został wykorzystany. Mobilne karty pokładowe należy wydrukować i dołączyć do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t>Jeżeli uczestnik podróżował pociągiem: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bilety kolejowe. Mobilny bilet kolejowy należy wydrukować i dołączyć do wniosku o zwrot kosztów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 w:line="336" w:lineRule="exact"/>
        <w:ind w:left="2560" w:hanging="280"/>
      </w:pPr>
      <w:r w:rsidRPr="004211E7">
        <w:rPr>
          <w:color w:val="000000"/>
        </w:rPr>
        <w:t>faktura z biura podróży lub przedsiębiorstwa kolejowego (tylko jeśli na bilecie nie jest wyraźnie podana żądana kwota)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 w:line="336" w:lineRule="exact"/>
        <w:ind w:left="2280" w:hanging="280"/>
      </w:pPr>
      <w:r w:rsidRPr="004211E7">
        <w:t>Jeżeli uczestnik podróżował prywatnym samochodem:</w:t>
      </w:r>
    </w:p>
    <w:p w:rsidR="0031222D" w:rsidRPr="004211E7" w:rsidRDefault="0031222D" w:rsidP="0031222D">
      <w:pPr>
        <w:pStyle w:val="Teksttreci20"/>
        <w:numPr>
          <w:ilvl w:val="0"/>
          <w:numId w:val="4"/>
        </w:numPr>
        <w:shd w:val="clear" w:color="auto" w:fill="auto"/>
        <w:tabs>
          <w:tab w:val="left" w:pos="2571"/>
        </w:tabs>
        <w:spacing w:before="0"/>
        <w:ind w:left="2560" w:hanging="280"/>
      </w:pPr>
      <w:r w:rsidRPr="004211E7">
        <w:rPr>
          <w:color w:val="000000"/>
        </w:rPr>
        <w:t>mapowanie trasy i szczegółowe informacje na temat podróży, której dotyczą</w:t>
      </w:r>
    </w:p>
    <w:p w:rsidR="0031222D" w:rsidRPr="004211E7" w:rsidRDefault="0031222D" w:rsidP="0031222D">
      <w:pPr>
        <w:pStyle w:val="Teksttreci20"/>
        <w:shd w:val="clear" w:color="auto" w:fill="auto"/>
        <w:tabs>
          <w:tab w:val="left" w:pos="6510"/>
        </w:tabs>
        <w:spacing w:before="0" w:after="600"/>
        <w:ind w:left="2560" w:firstLine="0"/>
      </w:pPr>
      <w:r w:rsidRPr="004211E7">
        <w:rPr>
          <w:color w:val="000000"/>
        </w:rPr>
        <w:t>obliczenia z limitem do 1 200 km, przy czym odległość oblicza się według najkrótszej trasy (mapowanie trasy przy pomocy Michelin / Google Internet Maps): km x 2 (wyjazd</w:t>
      </w:r>
      <w:r w:rsidR="00F45911">
        <w:rPr>
          <w:color w:val="000000"/>
        </w:rPr>
        <w:t xml:space="preserve"> – </w:t>
      </w:r>
      <w:r w:rsidRPr="004211E7">
        <w:rPr>
          <w:color w:val="000000"/>
        </w:rPr>
        <w:t>powrót) x 0,22 €/km =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2015"/>
        </w:tabs>
        <w:spacing w:before="0"/>
        <w:ind w:left="1300" w:firstLine="0"/>
      </w:pPr>
      <w:r w:rsidRPr="004211E7">
        <w:rPr>
          <w:color w:val="000000"/>
        </w:rPr>
        <w:t>W przypadku wymiany uprawniającej uczestnika do co najmniej 11 pełnych diet</w:t>
      </w:r>
      <w:r w:rsidRPr="004211E7">
        <w:rPr>
          <w:color w:val="000000"/>
          <w:vertAlign w:val="superscript"/>
        </w:rPr>
        <w:footnoteReference w:id="4"/>
      </w:r>
      <w:r w:rsidRPr="004211E7">
        <w:rPr>
          <w:color w:val="000000"/>
        </w:rPr>
        <w:t>: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 xml:space="preserve">sprawozdanie z wymiany i jego streszczenie w języku angielskim </w:t>
      </w:r>
      <w:r w:rsidR="000073B7">
        <w:rPr>
          <w:color w:val="000000"/>
        </w:rPr>
        <w:br/>
      </w:r>
      <w:bookmarkStart w:id="13" w:name="_GoBack"/>
      <w:bookmarkEnd w:id="13"/>
      <w:r w:rsidRPr="004211E7">
        <w:rPr>
          <w:color w:val="000000"/>
        </w:rPr>
        <w:t>lub francuskim, jeśli to możliwe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>formularz oceny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>zaświadczenie o uczestnictwie (</w:t>
      </w:r>
      <w:r w:rsidR="000073B7">
        <w:rPr>
          <w:color w:val="000000"/>
        </w:rPr>
        <w:t>wskazujące</w:t>
      </w:r>
      <w:r w:rsidRPr="004211E7">
        <w:rPr>
          <w:color w:val="000000"/>
        </w:rPr>
        <w:t xml:space="preserve"> </w:t>
      </w:r>
      <w:r w:rsidR="000073B7">
        <w:rPr>
          <w:color w:val="000000"/>
        </w:rPr>
        <w:t>termin</w:t>
      </w:r>
      <w:r w:rsidRPr="004211E7">
        <w:rPr>
          <w:color w:val="000000"/>
        </w:rPr>
        <w:t>, w którym odbyła się wymiana), należycie podpisane przez referenta uczestnika i opatrzone pieczęcią urzędową używaną w instytucji przyjmującej. Tym niemniej, zaleca się przechowywanie dokumentów podróży i zakwaterowania do końca pierwszego kwartału roku następującego po roku, w którym działanie miało miejsce, ponieważ mogą one służyć jako dowód uczestnictwa dla potrzeb ewentualnych audytów.</w:t>
      </w:r>
    </w:p>
    <w:p w:rsidR="0031222D" w:rsidRPr="004211E7" w:rsidRDefault="0031222D" w:rsidP="0031222D">
      <w:pPr>
        <w:pStyle w:val="Teksttreci20"/>
        <w:numPr>
          <w:ilvl w:val="0"/>
          <w:numId w:val="3"/>
        </w:numPr>
        <w:shd w:val="clear" w:color="auto" w:fill="auto"/>
        <w:tabs>
          <w:tab w:val="left" w:pos="2287"/>
        </w:tabs>
        <w:spacing w:before="0"/>
        <w:ind w:left="2280" w:hanging="280"/>
      </w:pPr>
      <w:r w:rsidRPr="004211E7">
        <w:rPr>
          <w:color w:val="000000"/>
        </w:rPr>
        <w:t xml:space="preserve">umowa najmu, jeżeli uczestnik opuści długoterminową wymianę przed planowaną datą końcową lub jeżeli nastąpi przedłużenie wymiany </w:t>
      </w:r>
      <w:r w:rsidR="000073B7">
        <w:rPr>
          <w:color w:val="000000"/>
        </w:rPr>
        <w:br/>
      </w:r>
      <w:r w:rsidRPr="004211E7">
        <w:rPr>
          <w:color w:val="000000"/>
        </w:rPr>
        <w:t>w następnym roku.</w:t>
      </w:r>
    </w:p>
    <w:p w:rsidR="0031222D" w:rsidRPr="004211E7" w:rsidRDefault="0031222D" w:rsidP="0031222D">
      <w:pPr>
        <w:pStyle w:val="Teksttreci20"/>
        <w:numPr>
          <w:ilvl w:val="1"/>
          <w:numId w:val="2"/>
        </w:numPr>
        <w:shd w:val="clear" w:color="auto" w:fill="auto"/>
        <w:tabs>
          <w:tab w:val="left" w:pos="2050"/>
        </w:tabs>
        <w:spacing w:before="0" w:after="385" w:line="336" w:lineRule="exact"/>
        <w:ind w:left="2040" w:hanging="700"/>
      </w:pPr>
      <w:r w:rsidRPr="004211E7">
        <w:rPr>
          <w:color w:val="000000"/>
        </w:rPr>
        <w:t>EJTN zastrzega sobie prawo do zażądania oryginalnych dokumentów (każdego dokumentu otrzymanego elektronicznie / każdej kopii). Dlatego też zachęca się uczestników do przechowywania oryginalnych dokumentów do końca pierwszego kwartału roku następującego po roku, w którym działanie miało miejsce, ponieważ mogą one służyć dla potrzeb ewentualnych audytów.</w:t>
      </w:r>
    </w:p>
    <w:p w:rsidR="0031222D" w:rsidRPr="004211E7" w:rsidRDefault="0031222D" w:rsidP="00F47691">
      <w:pPr>
        <w:pStyle w:val="Teksttreci60"/>
        <w:numPr>
          <w:ilvl w:val="0"/>
          <w:numId w:val="2"/>
        </w:numPr>
        <w:shd w:val="clear" w:color="auto" w:fill="auto"/>
        <w:tabs>
          <w:tab w:val="left" w:pos="1276"/>
        </w:tabs>
        <w:spacing w:before="0" w:after="282" w:line="230" w:lineRule="exact"/>
        <w:ind w:left="1276" w:hanging="631"/>
      </w:pPr>
      <w:r w:rsidRPr="004211E7">
        <w:rPr>
          <w:color w:val="000000"/>
        </w:rPr>
        <w:t>Zamknięcie sprawy</w:t>
      </w:r>
    </w:p>
    <w:p w:rsidR="0031222D" w:rsidRPr="004211E7" w:rsidRDefault="0031222D" w:rsidP="00F47691">
      <w:pPr>
        <w:pStyle w:val="Akapitzlist"/>
        <w:ind w:left="709"/>
        <w:rPr>
          <w:color w:val="000000"/>
        </w:rPr>
      </w:pPr>
      <w:r w:rsidRPr="004211E7">
        <w:rPr>
          <w:color w:val="000000"/>
        </w:rPr>
        <w:t>EJTN może zażądać zwrotu wszelkich kwot, które przekazał uczestnikowi, jeżeli nie zostaną przedstawione dokumenty wymagane po wymianie.</w:t>
      </w:r>
    </w:p>
    <w:p w:rsidR="009F7D47" w:rsidRPr="004211E7" w:rsidRDefault="009F7D47" w:rsidP="00F47691">
      <w:pPr>
        <w:pStyle w:val="Akapitzlist"/>
        <w:ind w:left="709"/>
        <w:rPr>
          <w:color w:val="000000"/>
        </w:rPr>
      </w:pPr>
    </w:p>
    <w:p w:rsidR="009F7D47" w:rsidRPr="004211E7" w:rsidRDefault="009F7D47" w:rsidP="00F47691">
      <w:pPr>
        <w:pStyle w:val="Akapitzlist"/>
        <w:ind w:left="709"/>
        <w:rPr>
          <w:rStyle w:val="PogrubienieTeksttreci226ptOdstpy0pt"/>
          <w:spacing w:val="0"/>
          <w:sz w:val="34"/>
          <w:szCs w:val="34"/>
        </w:rPr>
        <w:sectPr w:rsidR="009F7D47" w:rsidRPr="004211E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F7D47" w:rsidRPr="004211E7" w:rsidRDefault="009F7D47" w:rsidP="009F7D47">
      <w:pPr>
        <w:pStyle w:val="Akapitzlist"/>
        <w:ind w:left="709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ZAŁĄCZNIK 1</w:t>
      </w:r>
    </w:p>
    <w:tbl>
      <w:tblPr>
        <w:tblW w:w="15149" w:type="dxa"/>
        <w:tblInd w:w="-8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0"/>
        <w:gridCol w:w="1100"/>
        <w:gridCol w:w="1080"/>
        <w:gridCol w:w="1186"/>
        <w:gridCol w:w="384"/>
        <w:gridCol w:w="451"/>
        <w:gridCol w:w="451"/>
        <w:gridCol w:w="451"/>
        <w:gridCol w:w="451"/>
        <w:gridCol w:w="451"/>
        <w:gridCol w:w="509"/>
        <w:gridCol w:w="504"/>
        <w:gridCol w:w="1186"/>
        <w:gridCol w:w="509"/>
        <w:gridCol w:w="509"/>
        <w:gridCol w:w="504"/>
        <w:gridCol w:w="514"/>
        <w:gridCol w:w="782"/>
        <w:gridCol w:w="643"/>
        <w:gridCol w:w="643"/>
        <w:gridCol w:w="643"/>
        <w:gridCol w:w="638"/>
      </w:tblGrid>
      <w:tr w:rsidR="003A4286" w:rsidRPr="004211E7" w:rsidTr="00367CAB">
        <w:trPr>
          <w:trHeight w:val="53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KRAJ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KOD KRAJOWY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UNIJNE STAWKI DIET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</w:t>
            </w:r>
          </w:p>
        </w:tc>
        <w:tc>
          <w:tcPr>
            <w:tcW w:w="365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spacing w:after="0" w:line="240" w:lineRule="auto"/>
              <w:jc w:val="center"/>
              <w:rPr>
                <w:sz w:val="10"/>
                <w:szCs w:val="10"/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 &lt;11 DNI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</w:t>
            </w:r>
          </w:p>
        </w:tc>
        <w:tc>
          <w:tcPr>
            <w:tcW w:w="2036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15 DNI&gt; STAWKI DIET EJTN &gt; 11 DNI</w:t>
            </w:r>
          </w:p>
        </w:tc>
        <w:tc>
          <w:tcPr>
            <w:tcW w:w="334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left="160" w:firstLine="0"/>
              <w:jc w:val="center"/>
              <w:rPr>
                <w:u w:val="single"/>
              </w:rPr>
            </w:pPr>
            <w:r w:rsidRPr="004211E7">
              <w:rPr>
                <w:rStyle w:val="Teksttreci26pt"/>
                <w:u w:val="single"/>
              </w:rPr>
              <w:t>STAWKI DIET EJTN PRZY WYMIANACH DŁUGOTERMINOWYCH TRWAJĄCYCH 3 MIESIĘCY LUB DŁUŻEJ</w:t>
            </w:r>
          </w:p>
        </w:tc>
      </w:tr>
      <w:tr w:rsidR="009F7D47" w:rsidRPr="004211E7" w:rsidTr="009F7D47">
        <w:trPr>
          <w:trHeight w:hRule="exact" w:val="29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 DZIEŃ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 DNI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 DNI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 DNI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 DNI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11 DNI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 DNI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13 DNI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14 DNI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 MIESIĄCE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 MIESIĄCE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 MIESIĄCE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 MIESIĄCE</w:t>
            </w:r>
          </w:p>
        </w:tc>
      </w:tr>
      <w:tr w:rsidR="009F7D47" w:rsidRPr="004211E7" w:rsidTr="009F7D47">
        <w:trPr>
          <w:trHeight w:hRule="exact" w:val="202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spacing w:after="0" w:line="240" w:lineRule="auto"/>
              <w:jc w:val="center"/>
              <w:rPr>
                <w:sz w:val="10"/>
                <w:szCs w:val="10"/>
              </w:rPr>
            </w:pPr>
          </w:p>
        </w:tc>
      </w:tr>
      <w:tr w:rsidR="009F7D47" w:rsidRPr="004211E7" w:rsidTr="009F7D47">
        <w:trPr>
          <w:trHeight w:hRule="exact" w:val="25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Austria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AT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 225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9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Belgia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Bułgaria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BG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Chorwacja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HR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Republika Czeska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CZ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1 050€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Cypr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CY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238 €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Dania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DK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270 €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630 €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1 890 €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3 055 €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3 290 €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Estonia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EE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181 €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Finlandia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FI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244 €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570 €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1 140 €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1 710 €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2 365 €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2 795 €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3 010 €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Francja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FR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245 €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570 €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1 140 €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1 710 €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2 365 €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2 795 €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3 010 €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Niemcy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DE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208 €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Grecja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GR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4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Węgry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HU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Irlandia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IE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254 €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2 925 €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3 150 €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Włochy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IT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Łotwa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211 €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Litwa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183 €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left="160" w:firstLine="0"/>
              <w:jc w:val="center"/>
            </w:pPr>
            <w:r w:rsidRPr="004211E7">
              <w:rPr>
                <w:rStyle w:val="Teksttreci26pt"/>
              </w:rPr>
              <w:t>Luksemburg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LX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1 080 €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2 255 €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2 460 €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2 665 €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2 870 €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Malta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MT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left="160" w:firstLine="0"/>
              <w:jc w:val="center"/>
            </w:pPr>
            <w:r w:rsidRPr="004211E7">
              <w:rPr>
                <w:rStyle w:val="Teksttreci26pt"/>
              </w:rPr>
              <w:t>Holandia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PB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263 €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2 925 €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3 150 €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Polska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PL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Portugalia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PT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204 €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Rumunia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RO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170€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510 €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1 020 €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1 530 €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1 700 €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195 €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2 145 €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2 340 €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2 535 €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2 730 €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Republika Słowacji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SK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205 €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32 400€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Słowenia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5V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750 €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1 350 €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1 500 €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1 925 €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2 275 €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50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Hiszpania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ES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212 €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160 €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480 €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640 €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960 €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1 440 €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1 600 €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2 035 €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2 220 €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2 405 €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2 590 €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9F7D47">
        <w:trPr>
          <w:trHeight w:hRule="exact" w:val="245"/>
        </w:trPr>
        <w:tc>
          <w:tcPr>
            <w:tcW w:w="156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Szwecja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SU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257 €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1 000 €</w:t>
            </w:r>
          </w:p>
        </w:tc>
        <w:tc>
          <w:tcPr>
            <w:tcW w:w="45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2 000 €</w:t>
            </w:r>
          </w:p>
        </w:tc>
        <w:tc>
          <w:tcPr>
            <w:tcW w:w="118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225 €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2 475 €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2 700 €</w:t>
            </w:r>
          </w:p>
        </w:tc>
        <w:tc>
          <w:tcPr>
            <w:tcW w:w="50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2 925 €</w:t>
            </w:r>
          </w:p>
        </w:tc>
        <w:tc>
          <w:tcPr>
            <w:tcW w:w="51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3 150 €</w:t>
            </w:r>
          </w:p>
        </w:tc>
        <w:tc>
          <w:tcPr>
            <w:tcW w:w="7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9F7D47" w:rsidRPr="004211E7" w:rsidTr="0008149B">
        <w:trPr>
          <w:trHeight w:hRule="exact" w:val="379"/>
        </w:trPr>
        <w:tc>
          <w:tcPr>
            <w:tcW w:w="156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Zjednoczone Królestwo</w:t>
            </w:r>
          </w:p>
        </w:tc>
        <w:tc>
          <w:tcPr>
            <w:tcW w:w="11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UK</w:t>
            </w:r>
          </w:p>
        </w:tc>
        <w:tc>
          <w:tcPr>
            <w:tcW w:w="108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276 €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38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420 €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630 €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840 €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1 050 €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1 260 €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1 890 €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2 100 €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235 €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2 585 €</w:t>
            </w:r>
          </w:p>
        </w:tc>
        <w:tc>
          <w:tcPr>
            <w:tcW w:w="5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2 820 €</w:t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3 055 €</w:t>
            </w:r>
          </w:p>
        </w:tc>
        <w:tc>
          <w:tcPr>
            <w:tcW w:w="51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3 290 €</w:t>
            </w:r>
          </w:p>
        </w:tc>
        <w:tc>
          <w:tcPr>
            <w:tcW w:w="7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3A4286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10 800 €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18 000 €</w:t>
            </w:r>
          </w:p>
        </w:tc>
        <w:tc>
          <w:tcPr>
            <w:tcW w:w="643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21 600 €</w:t>
            </w:r>
          </w:p>
        </w:tc>
        <w:tc>
          <w:tcPr>
            <w:tcW w:w="6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F7D47" w:rsidRPr="004211E7" w:rsidRDefault="009F7D47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</w:pPr>
            <w:r w:rsidRPr="004211E7">
              <w:rPr>
                <w:rStyle w:val="Teksttreci26pt"/>
              </w:rPr>
              <w:t>32 400 €</w:t>
            </w:r>
          </w:p>
        </w:tc>
      </w:tr>
      <w:tr w:rsidR="003A4286" w:rsidRPr="004211E7" w:rsidTr="0008149B">
        <w:trPr>
          <w:trHeight w:hRule="exact" w:val="144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38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14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38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</w:tr>
      <w:tr w:rsidR="003A4286" w:rsidRPr="004211E7" w:rsidTr="0008149B">
        <w:trPr>
          <w:trHeight w:hRule="exact" w:val="29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</w:rPr>
              <w:t>Średnia</w:t>
            </w:r>
          </w:p>
        </w:tc>
        <w:tc>
          <w:tcPr>
            <w:tcW w:w="1100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  <w:u w:val="single"/>
              </w:rPr>
            </w:pPr>
            <w:r w:rsidRPr="004211E7">
              <w:rPr>
                <w:rStyle w:val="Teksttreci26pt"/>
                <w:u w:val="single"/>
              </w:rPr>
              <w:t>224 €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  <w:u w:val="single"/>
              </w:rPr>
              <w:t>175 €</w:t>
            </w:r>
          </w:p>
        </w:tc>
        <w:tc>
          <w:tcPr>
            <w:tcW w:w="38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451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  <w:u w:val="single"/>
              </w:rPr>
            </w:pPr>
            <w:r w:rsidRPr="004211E7">
              <w:rPr>
                <w:rStyle w:val="Teksttreci26pt"/>
                <w:u w:val="single"/>
              </w:rPr>
              <w:t>200 €</w:t>
            </w:r>
          </w:p>
        </w:tc>
        <w:tc>
          <w:tcPr>
            <w:tcW w:w="509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9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04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514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A4286" w:rsidRPr="004211E7" w:rsidRDefault="0008149B" w:rsidP="0008149B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  <w:r w:rsidRPr="004211E7">
              <w:rPr>
                <w:rStyle w:val="Teksttreci26pt"/>
                <w:u w:val="single"/>
              </w:rPr>
              <w:t>120 €</w:t>
            </w:r>
          </w:p>
        </w:tc>
        <w:tc>
          <w:tcPr>
            <w:tcW w:w="643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43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  <w:tc>
          <w:tcPr>
            <w:tcW w:w="638" w:type="dxa"/>
            <w:shd w:val="clear" w:color="auto" w:fill="FFFFFF"/>
            <w:vAlign w:val="center"/>
          </w:tcPr>
          <w:p w:rsidR="003A4286" w:rsidRPr="004211E7" w:rsidRDefault="003A4286" w:rsidP="009F7D47">
            <w:pPr>
              <w:pStyle w:val="Teksttreci20"/>
              <w:shd w:val="clear" w:color="auto" w:fill="auto"/>
              <w:spacing w:before="0" w:line="240" w:lineRule="auto"/>
              <w:ind w:firstLine="0"/>
              <w:jc w:val="center"/>
              <w:rPr>
                <w:rStyle w:val="Teksttreci26pt"/>
              </w:rPr>
            </w:pPr>
          </w:p>
        </w:tc>
      </w:tr>
    </w:tbl>
    <w:p w:rsidR="0008149B" w:rsidRPr="004211E7" w:rsidRDefault="0008149B">
      <w:pPr>
        <w:rPr>
          <w:rStyle w:val="PogrubienieTeksttreci226ptOdstpy0pt"/>
          <w:spacing w:val="0"/>
          <w:sz w:val="34"/>
          <w:szCs w:val="34"/>
        </w:rPr>
        <w:sectPr w:rsidR="0008149B" w:rsidRPr="004211E7" w:rsidSect="003A4286">
          <w:pgSz w:w="16838" w:h="11906" w:orient="landscape"/>
          <w:pgMar w:top="709" w:right="1417" w:bottom="284" w:left="1417" w:header="708" w:footer="708" w:gutter="0"/>
          <w:cols w:space="708"/>
          <w:docGrid w:linePitch="360"/>
        </w:sectPr>
      </w:pPr>
    </w:p>
    <w:p w:rsidR="0008149B" w:rsidRPr="004211E7" w:rsidRDefault="0008149B" w:rsidP="0008149B">
      <w:pPr>
        <w:pStyle w:val="Akapitzlist"/>
        <w:ind w:left="709"/>
        <w:jc w:val="center"/>
        <w:rPr>
          <w:rStyle w:val="PogrubienieTeksttreci226ptOdstpy0pt"/>
          <w:spacing w:val="0"/>
          <w:sz w:val="28"/>
          <w:szCs w:val="28"/>
        </w:rPr>
      </w:pPr>
      <w:r w:rsidRPr="004211E7">
        <w:rPr>
          <w:rStyle w:val="PogrubienieTeksttreci226ptOdstpy0pt"/>
          <w:spacing w:val="0"/>
          <w:sz w:val="28"/>
        </w:rPr>
        <w:t>ZAŁĄCZNIK 2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06"/>
      </w:tblGrid>
      <w:tr w:rsidR="0008149B" w:rsidRPr="004211E7" w:rsidTr="0008149B">
        <w:trPr>
          <w:trHeight w:hRule="exact" w:val="374"/>
          <w:jc w:val="center"/>
        </w:trPr>
        <w:tc>
          <w:tcPr>
            <w:tcW w:w="9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49B" w:rsidRPr="004211E7" w:rsidRDefault="0008149B" w:rsidP="0008149B">
            <w:pPr>
              <w:pStyle w:val="Teksttreci20"/>
              <w:shd w:val="clear" w:color="auto" w:fill="auto"/>
              <w:spacing w:before="0" w:line="230" w:lineRule="exact"/>
              <w:ind w:firstLine="0"/>
              <w:jc w:val="center"/>
            </w:pPr>
            <w:r w:rsidRPr="004211E7">
              <w:rPr>
                <w:rStyle w:val="PogrubienieTeksttreci2115pt"/>
              </w:rPr>
              <w:t>LISTA RZECZY DO WYKONANIA PO WYDARZENIU/IMPREZIE</w:t>
            </w:r>
          </w:p>
        </w:tc>
      </w:tr>
    </w:tbl>
    <w:p w:rsidR="0008149B" w:rsidRPr="004211E7" w:rsidRDefault="0008149B">
      <w:pPr>
        <w:rPr>
          <w:rStyle w:val="PogrubienieTeksttreci226ptOdstpy0pt"/>
          <w:spacing w:val="0"/>
          <w:sz w:val="34"/>
          <w:szCs w:val="34"/>
        </w:rPr>
      </w:pPr>
    </w:p>
    <w:p w:rsidR="0008149B" w:rsidRPr="004211E7" w:rsidRDefault="0008149B" w:rsidP="0008149B">
      <w:pPr>
        <w:pStyle w:val="Teksttreci20"/>
        <w:shd w:val="clear" w:color="auto" w:fill="auto"/>
        <w:tabs>
          <w:tab w:val="left" w:pos="10490"/>
        </w:tabs>
        <w:spacing w:before="188" w:after="294" w:line="276" w:lineRule="auto"/>
        <w:ind w:left="851" w:right="360" w:firstLine="0"/>
      </w:pPr>
      <w:r w:rsidRPr="004211E7">
        <w:t>Ta lista ma na celu przypomnienie o dokumentach, które należy dostarczyć po wydarzeniu/imprezie. Następujące dokumenty podróży należy przesłać do EJTN w celu przedłożenia ważnego formularza wniosku o zwrot kosztów: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jc w:val="left"/>
      </w:pPr>
      <w:r w:rsidRPr="004211E7">
        <w:t>formularz wniosku o zwrot kosztów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jc w:val="left"/>
      </w:pPr>
      <w:r w:rsidRPr="004211E7">
        <w:t>następujące dokumenty podróży w zależności od sposobu podróży:</w:t>
      </w:r>
    </w:p>
    <w:p w:rsidR="0008149B" w:rsidRPr="004211E7" w:rsidRDefault="0008149B" w:rsidP="0008149B">
      <w:pPr>
        <w:pStyle w:val="Teksttreci20"/>
        <w:shd w:val="clear" w:color="auto" w:fill="auto"/>
        <w:tabs>
          <w:tab w:val="left" w:pos="1900"/>
          <w:tab w:val="left" w:pos="10490"/>
        </w:tabs>
        <w:spacing w:before="0" w:line="276" w:lineRule="auto"/>
        <w:ind w:left="851" w:firstLine="0"/>
      </w:pPr>
    </w:p>
    <w:p w:rsidR="0008149B" w:rsidRPr="004211E7" w:rsidRDefault="0008149B" w:rsidP="0008149B">
      <w:pPr>
        <w:pStyle w:val="Teksttreci20"/>
        <w:numPr>
          <w:ilvl w:val="0"/>
          <w:numId w:val="7"/>
        </w:numPr>
        <w:shd w:val="clear" w:color="auto" w:fill="auto"/>
        <w:tabs>
          <w:tab w:val="left" w:pos="1900"/>
          <w:tab w:val="left" w:pos="10490"/>
        </w:tabs>
        <w:spacing w:before="0" w:line="276" w:lineRule="auto"/>
        <w:ind w:left="2127" w:hanging="426"/>
      </w:pPr>
      <w:r w:rsidRPr="004211E7">
        <w:t>Jeżeli uczestnik podróżował samolotem: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</w:pPr>
      <w:r w:rsidRPr="004211E7">
        <w:t>faktura wystawiona przez linie lotnicze i kopia biletu lotniczego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</w:pPr>
      <w:r w:rsidRPr="004211E7">
        <w:rPr>
          <w:rStyle w:val="PogrubienieTeksttreci2115pt"/>
          <w:u w:val="single"/>
        </w:rPr>
        <w:t>oryginał wszystkich kart pokładowych</w:t>
      </w:r>
      <w:r w:rsidR="004211E7" w:rsidRPr="004211E7">
        <w:rPr>
          <w:rStyle w:val="PogrubienieTeksttreci2115pt"/>
          <w:u w:val="single"/>
        </w:rPr>
        <w:t xml:space="preserve"> </w:t>
      </w:r>
      <w:r w:rsidRPr="004211E7">
        <w:t>(z wyjątkiem kart wystawionych w formie elektronicznej) dotyczących podróży lub zaświadczenie wydane przez linie lotnicze, że bilet został wykorzystany. Mobilne karty pokładowe należy wydrukować i dołączyć do wniosku o zwrot kosztów</w:t>
      </w:r>
    </w:p>
    <w:p w:rsidR="0008149B" w:rsidRPr="004211E7" w:rsidRDefault="0008149B" w:rsidP="0008149B">
      <w:pPr>
        <w:pStyle w:val="Teksttreci20"/>
        <w:shd w:val="clear" w:color="auto" w:fill="auto"/>
        <w:tabs>
          <w:tab w:val="left" w:pos="10490"/>
        </w:tabs>
        <w:spacing w:before="0" w:after="66" w:line="276" w:lineRule="auto"/>
        <w:ind w:left="2268" w:firstLine="0"/>
        <w:jc w:val="left"/>
      </w:pPr>
    </w:p>
    <w:p w:rsidR="0008149B" w:rsidRPr="004211E7" w:rsidRDefault="0008149B" w:rsidP="0008149B">
      <w:pPr>
        <w:pStyle w:val="Teksttreci20"/>
        <w:numPr>
          <w:ilvl w:val="0"/>
          <w:numId w:val="7"/>
        </w:numPr>
        <w:shd w:val="clear" w:color="auto" w:fill="auto"/>
        <w:tabs>
          <w:tab w:val="left" w:pos="1900"/>
          <w:tab w:val="left" w:pos="10490"/>
        </w:tabs>
        <w:spacing w:before="0" w:line="276" w:lineRule="auto"/>
        <w:ind w:left="2127" w:hanging="426"/>
      </w:pPr>
      <w:r w:rsidRPr="004211E7">
        <w:t>Jeżeli uczestnik podróżował pociągiem: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</w:pPr>
      <w:r w:rsidRPr="004211E7">
        <w:t>faktura wystawiona przez przedsiębiorstwo kolejowe (jeśli ma to zastosowanie)</w:t>
      </w:r>
    </w:p>
    <w:p w:rsidR="0008149B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694" w:hanging="426"/>
        <w:jc w:val="left"/>
      </w:pPr>
      <w:r w:rsidRPr="004211E7">
        <w:t>oryginał biletów kolejowych. Mobilny bilet kolejowy należy wydrukować i dołączyć do wniosku o zwrot kosztów</w:t>
      </w:r>
    </w:p>
    <w:p w:rsidR="0008149B" w:rsidRPr="004211E7" w:rsidRDefault="0008149B" w:rsidP="0008149B">
      <w:pPr>
        <w:pStyle w:val="Teksttreci20"/>
        <w:shd w:val="clear" w:color="auto" w:fill="auto"/>
        <w:tabs>
          <w:tab w:val="left" w:pos="10490"/>
        </w:tabs>
        <w:spacing w:before="0" w:after="66" w:line="276" w:lineRule="auto"/>
        <w:ind w:left="2694" w:firstLine="0"/>
        <w:jc w:val="left"/>
      </w:pPr>
    </w:p>
    <w:p w:rsidR="0008149B" w:rsidRPr="004211E7" w:rsidRDefault="0008149B" w:rsidP="0008149B">
      <w:pPr>
        <w:pStyle w:val="Teksttreci20"/>
        <w:numPr>
          <w:ilvl w:val="0"/>
          <w:numId w:val="7"/>
        </w:numPr>
        <w:shd w:val="clear" w:color="auto" w:fill="auto"/>
        <w:tabs>
          <w:tab w:val="left" w:pos="1900"/>
          <w:tab w:val="left" w:pos="10490"/>
        </w:tabs>
        <w:spacing w:before="0" w:line="276" w:lineRule="auto"/>
        <w:ind w:left="2127" w:hanging="426"/>
      </w:pPr>
      <w:r w:rsidRPr="004211E7">
        <w:t>Jeżeli uczestnik podróżował prywatnym samochodem:</w:t>
      </w:r>
    </w:p>
    <w:p w:rsidR="009F7D47" w:rsidRPr="004211E7" w:rsidRDefault="0008149B" w:rsidP="0008149B">
      <w:pPr>
        <w:pStyle w:val="Teksttreci20"/>
        <w:numPr>
          <w:ilvl w:val="0"/>
          <w:numId w:val="6"/>
        </w:numPr>
        <w:shd w:val="clear" w:color="auto" w:fill="auto"/>
        <w:tabs>
          <w:tab w:val="left" w:pos="10490"/>
        </w:tabs>
        <w:spacing w:before="0" w:after="66" w:line="276" w:lineRule="auto"/>
        <w:ind w:left="2268"/>
        <w:jc w:val="left"/>
        <w:rPr>
          <w:rStyle w:val="PogrubienieTeksttreci226ptOdstpy0pt"/>
          <w:spacing w:val="0"/>
          <w:sz w:val="34"/>
          <w:szCs w:val="34"/>
        </w:rPr>
      </w:pPr>
      <w:r w:rsidRPr="004211E7">
        <w:t>mapowanie trasy i szczegółowe informacje na temat podróży, której dotyczą obliczenia z limitem do 1 200 km, przy czym odległość oblicza się według najkrótszej trasy (mapowanie trasy przy pomocy Michelin / Google Internet Maps): km x 2 (wyjazd</w:t>
      </w:r>
      <w:r w:rsidR="00F45911">
        <w:t xml:space="preserve"> – </w:t>
      </w:r>
      <w:r w:rsidRPr="004211E7">
        <w:t>powrót) x 0,22 €/km =</w:t>
      </w:r>
    </w:p>
    <w:sectPr w:rsidR="009F7D47" w:rsidRPr="004211E7" w:rsidSect="0008149B">
      <w:pgSz w:w="11906" w:h="16838"/>
      <w:pgMar w:top="1417" w:right="709" w:bottom="1417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4DB6" w:rsidRDefault="002D4DB6" w:rsidP="0031222D">
      <w:pPr>
        <w:spacing w:after="0" w:line="240" w:lineRule="auto"/>
      </w:pPr>
      <w:r>
        <w:separator/>
      </w:r>
    </w:p>
  </w:endnote>
  <w:endnote w:type="continuationSeparator" w:id="0">
    <w:p w:rsidR="002D4DB6" w:rsidRDefault="002D4DB6" w:rsidP="0031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4DB6" w:rsidRDefault="002D4DB6" w:rsidP="0031222D">
      <w:pPr>
        <w:spacing w:after="0" w:line="240" w:lineRule="auto"/>
      </w:pPr>
      <w:r>
        <w:separator/>
      </w:r>
    </w:p>
  </w:footnote>
  <w:footnote w:type="continuationSeparator" w:id="0">
    <w:p w:rsidR="002D4DB6" w:rsidRDefault="002D4DB6" w:rsidP="0031222D">
      <w:pPr>
        <w:spacing w:after="0" w:line="240" w:lineRule="auto"/>
      </w:pPr>
      <w:r>
        <w:continuationSeparator/>
      </w:r>
    </w:p>
  </w:footnote>
  <w:footnote w:id="1">
    <w:p w:rsidR="0031222D" w:rsidRPr="00F45911" w:rsidRDefault="0031222D" w:rsidP="00F45911">
      <w:pPr>
        <w:tabs>
          <w:tab w:val="left" w:pos="284"/>
        </w:tabs>
        <w:spacing w:after="0"/>
        <w:ind w:left="142" w:hanging="142"/>
        <w:jc w:val="both"/>
        <w:rPr>
          <w:rFonts w:asciiTheme="majorHAnsi" w:hAnsiTheme="majorHAnsi"/>
          <w:sz w:val="14"/>
          <w:szCs w:val="14"/>
        </w:rPr>
      </w:pPr>
      <w:r w:rsidRPr="00F45911">
        <w:rPr>
          <w:rFonts w:asciiTheme="majorHAnsi" w:hAnsiTheme="majorHAnsi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color w:val="000000"/>
          <w:sz w:val="14"/>
          <w:szCs w:val="14"/>
        </w:rPr>
        <w:t xml:space="preserve"> Stawki diet zostały obniżone do 75% stawek stosowanych w ramach umów o pomoc zewnętrzną finansowanych przez WE (ułamki zaokrąglone w górę do najbliższej jednostki euro), a zatem podlegają zmianom zgodnie z regularnymi aktualizacjami dokonywanymi przez instytucje europejskie (źródło: aktualizacja z dnia 14.12.2010</w:t>
      </w:r>
    </w:p>
    <w:p w:rsidR="00F45911" w:rsidRPr="000073B7" w:rsidRDefault="000073B7" w:rsidP="00F45911">
      <w:pPr>
        <w:tabs>
          <w:tab w:val="left" w:pos="284"/>
        </w:tabs>
        <w:spacing w:after="0"/>
        <w:ind w:left="142"/>
        <w:jc w:val="both"/>
        <w:rPr>
          <w:rStyle w:val="Hipercze"/>
          <w:rFonts w:asciiTheme="majorHAnsi" w:hAnsiTheme="majorHAnsi"/>
          <w:sz w:val="14"/>
          <w:szCs w:val="14"/>
          <w:lang w:val="en-US"/>
        </w:rPr>
      </w:pPr>
      <w:hyperlink r:id="rId1">
        <w:r w:rsidR="0031222D" w:rsidRPr="000073B7">
          <w:rPr>
            <w:rStyle w:val="Hipercze"/>
            <w:rFonts w:asciiTheme="majorHAnsi" w:hAnsiTheme="majorHAnsi"/>
            <w:sz w:val="14"/>
            <w:szCs w:val="14"/>
            <w:lang w:val="en-US"/>
          </w:rPr>
          <w:t>http://ec.eurpna.eu/euDipeaid/work/procedures/implenientation/Der diems/documents/</w:t>
        </w:r>
        <w:proofErr w:type="spellStart"/>
        <w:r w:rsidR="0031222D" w:rsidRPr="000073B7">
          <w:rPr>
            <w:rStyle w:val="Hipercze"/>
            <w:rFonts w:asciiTheme="majorHAnsi" w:hAnsiTheme="majorHAnsi"/>
            <w:sz w:val="14"/>
            <w:szCs w:val="14"/>
            <w:lang w:val="en-US"/>
          </w:rPr>
          <w:t>perdiem</w:t>
        </w:r>
        <w:proofErr w:type="spellEnd"/>
        <w:r w:rsidR="0031222D" w:rsidRPr="000073B7">
          <w:rPr>
            <w:rStyle w:val="Hipercze"/>
            <w:rFonts w:asciiTheme="majorHAnsi" w:hAnsiTheme="majorHAnsi"/>
            <w:sz w:val="14"/>
            <w:szCs w:val="14"/>
            <w:lang w:val="en-US"/>
          </w:rPr>
          <w:t xml:space="preserve"> 201012 version to be publish</w:t>
        </w:r>
      </w:hyperlink>
      <w:r w:rsidR="00F45911" w:rsidRPr="000073B7">
        <w:rPr>
          <w:rStyle w:val="Hipercze"/>
          <w:rFonts w:asciiTheme="majorHAnsi" w:hAnsiTheme="majorHAnsi"/>
          <w:bCs/>
          <w:sz w:val="14"/>
          <w:szCs w:val="14"/>
          <w:lang w:val="en-US"/>
        </w:rPr>
        <w:t>ed.pdf</w:t>
      </w:r>
      <w:r w:rsidR="0031222D" w:rsidRPr="000073B7">
        <w:rPr>
          <w:rStyle w:val="Hipercze"/>
          <w:rFonts w:asciiTheme="majorHAnsi" w:hAnsiTheme="majorHAnsi"/>
          <w:sz w:val="14"/>
          <w:szCs w:val="14"/>
          <w:lang w:val="en-US"/>
        </w:rPr>
        <w:t>.</w:t>
      </w:r>
    </w:p>
    <w:p w:rsidR="0031222D" w:rsidRPr="00F45911" w:rsidRDefault="0031222D" w:rsidP="00F45911">
      <w:pPr>
        <w:tabs>
          <w:tab w:val="left" w:pos="284"/>
        </w:tabs>
        <w:spacing w:after="0"/>
        <w:ind w:left="142"/>
        <w:jc w:val="both"/>
        <w:rPr>
          <w:rFonts w:asciiTheme="majorHAnsi" w:hAnsiTheme="majorHAnsi"/>
          <w:sz w:val="14"/>
          <w:szCs w:val="14"/>
        </w:rPr>
      </w:pPr>
      <w:r w:rsidRPr="00F45911">
        <w:rPr>
          <w:rFonts w:asciiTheme="majorHAnsi" w:hAnsiTheme="majorHAnsi"/>
          <w:sz w:val="14"/>
          <w:szCs w:val="14"/>
        </w:rPr>
        <w:t xml:space="preserve">Stawki diet powinny być stawkami obowiązującymi na początku roku i nie powinny być zmieniane </w:t>
      </w:r>
      <w:r w:rsidRPr="00F45911">
        <w:rPr>
          <w:rStyle w:val="Stopka3PalatinoLinotype75ptBezpogrubienia"/>
          <w:rFonts w:asciiTheme="majorHAnsi" w:hAnsiTheme="majorHAnsi"/>
          <w:b w:val="0"/>
          <w:sz w:val="14"/>
          <w:szCs w:val="14"/>
        </w:rPr>
        <w:t>w</w:t>
      </w:r>
      <w:r w:rsidRPr="00F45911">
        <w:rPr>
          <w:rFonts w:asciiTheme="majorHAnsi" w:hAnsiTheme="majorHAnsi"/>
          <w:sz w:val="14"/>
          <w:szCs w:val="14"/>
        </w:rPr>
        <w:t xml:space="preserve"> trakcie realizacji jakiegokolwiek projektu, grantu lub działania.</w:t>
      </w:r>
    </w:p>
  </w:footnote>
  <w:footnote w:id="2">
    <w:p w:rsidR="0031222D" w:rsidRPr="00F45911" w:rsidRDefault="0031222D" w:rsidP="00F45911">
      <w:pPr>
        <w:pStyle w:val="Stopka40"/>
        <w:shd w:val="clear" w:color="auto" w:fill="auto"/>
        <w:tabs>
          <w:tab w:val="left" w:pos="284"/>
          <w:tab w:val="left" w:pos="360"/>
        </w:tabs>
        <w:spacing w:line="276" w:lineRule="auto"/>
        <w:ind w:left="142" w:hanging="142"/>
        <w:rPr>
          <w:rFonts w:asciiTheme="majorHAnsi" w:hAnsiTheme="majorHAnsi"/>
          <w:b w:val="0"/>
          <w:sz w:val="14"/>
          <w:szCs w:val="14"/>
        </w:rPr>
      </w:pPr>
      <w:r w:rsidRPr="00F45911">
        <w:rPr>
          <w:rFonts w:asciiTheme="majorHAnsi" w:hAnsiTheme="majorHAnsi"/>
          <w:b w:val="0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sz w:val="14"/>
          <w:szCs w:val="14"/>
        </w:rPr>
        <w:tab/>
      </w:r>
      <w:r w:rsidRPr="00F45911">
        <w:rPr>
          <w:rFonts w:asciiTheme="majorHAnsi" w:hAnsiTheme="majorHAnsi"/>
          <w:b w:val="0"/>
          <w:color w:val="000000"/>
          <w:sz w:val="14"/>
          <w:szCs w:val="14"/>
        </w:rPr>
        <w:t>W przypadku, gdy z powodu wyjątkowych okoliczności, czas trwania wymiany początkowo uprawniającej uczestnika do 11 diet dziennych zostanie skrócony, zastosowanie będzie miała taka sama stawka diety, jak przewidziano pierwotnie.</w:t>
      </w:r>
    </w:p>
  </w:footnote>
  <w:footnote w:id="3">
    <w:p w:rsidR="0031222D" w:rsidRPr="00F45911" w:rsidRDefault="0031222D" w:rsidP="00F45911">
      <w:pPr>
        <w:tabs>
          <w:tab w:val="left" w:pos="284"/>
          <w:tab w:val="left" w:pos="390"/>
        </w:tabs>
        <w:ind w:left="142" w:hanging="142"/>
        <w:rPr>
          <w:rFonts w:asciiTheme="majorHAnsi" w:hAnsiTheme="majorHAnsi"/>
          <w:sz w:val="14"/>
          <w:szCs w:val="14"/>
        </w:rPr>
      </w:pPr>
      <w:r w:rsidRPr="00F45911">
        <w:rPr>
          <w:rFonts w:asciiTheme="majorHAnsi" w:hAnsiTheme="majorHAnsi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sz w:val="14"/>
          <w:szCs w:val="14"/>
        </w:rPr>
        <w:tab/>
      </w:r>
      <w:r w:rsidRPr="00F45911">
        <w:rPr>
          <w:rFonts w:asciiTheme="majorHAnsi" w:hAnsiTheme="majorHAnsi"/>
          <w:color w:val="000000"/>
          <w:sz w:val="14"/>
          <w:szCs w:val="14"/>
        </w:rPr>
        <w:t>Ibidem.</w:t>
      </w:r>
    </w:p>
  </w:footnote>
  <w:footnote w:id="4">
    <w:p w:rsidR="0031222D" w:rsidRPr="00F45911" w:rsidRDefault="0031222D" w:rsidP="00F45911">
      <w:pPr>
        <w:pStyle w:val="Stopka40"/>
        <w:shd w:val="clear" w:color="auto" w:fill="auto"/>
        <w:tabs>
          <w:tab w:val="left" w:pos="284"/>
        </w:tabs>
        <w:spacing w:line="276" w:lineRule="auto"/>
        <w:ind w:left="142" w:hanging="142"/>
        <w:jc w:val="both"/>
        <w:rPr>
          <w:rFonts w:asciiTheme="majorHAnsi" w:hAnsiTheme="majorHAnsi"/>
          <w:b w:val="0"/>
          <w:sz w:val="14"/>
          <w:szCs w:val="14"/>
        </w:rPr>
      </w:pPr>
      <w:r w:rsidRPr="00F45911">
        <w:rPr>
          <w:rFonts w:asciiTheme="majorHAnsi" w:hAnsiTheme="majorHAnsi"/>
          <w:b w:val="0"/>
          <w:color w:val="000000"/>
          <w:sz w:val="14"/>
          <w:szCs w:val="14"/>
          <w:vertAlign w:val="superscript"/>
        </w:rPr>
        <w:footnoteRef/>
      </w:r>
      <w:r w:rsidRPr="00F45911">
        <w:rPr>
          <w:rFonts w:asciiTheme="majorHAnsi" w:hAnsiTheme="majorHAnsi"/>
          <w:sz w:val="14"/>
          <w:szCs w:val="14"/>
        </w:rPr>
        <w:tab/>
      </w:r>
      <w:r w:rsidRPr="00F45911">
        <w:rPr>
          <w:rFonts w:asciiTheme="majorHAnsi" w:hAnsiTheme="majorHAnsi"/>
          <w:b w:val="0"/>
          <w:color w:val="000000"/>
          <w:sz w:val="14"/>
          <w:szCs w:val="14"/>
        </w:rPr>
        <w:t>W przypadku, gdy z powodu wyjątkowych okoliczności, czas trwania wymiany początkowo uprawniającej uczestnika do 11 diet dziennych zostanie skrócony, będą wymagane takie same dokumenty, jak przewidziano pierwotnie.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2A3AFA"/>
    <w:multiLevelType w:val="hybridMultilevel"/>
    <w:tmpl w:val="376A6508"/>
    <w:lvl w:ilvl="0" w:tplc="02CA3A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507F9E"/>
    <w:multiLevelType w:val="multilevel"/>
    <w:tmpl w:val="5E0A127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2F4192A"/>
    <w:multiLevelType w:val="multilevel"/>
    <w:tmpl w:val="0F74588C"/>
    <w:lvl w:ilvl="0">
      <w:start w:val="1"/>
      <w:numFmt w:val="decimal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2">
      <w:start w:val="1"/>
      <w:numFmt w:val="decimal"/>
      <w:lvlText w:val="%1.%2.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D862DB3"/>
    <w:multiLevelType w:val="multilevel"/>
    <w:tmpl w:val="A9F831F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CA67E5"/>
    <w:multiLevelType w:val="hybridMultilevel"/>
    <w:tmpl w:val="36C46146"/>
    <w:lvl w:ilvl="0" w:tplc="C2E8C406">
      <w:start w:val="1"/>
      <w:numFmt w:val="bullet"/>
      <w:lvlText w:val=""/>
      <w:lvlJc w:val="left"/>
      <w:pPr>
        <w:ind w:left="16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4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0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6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83" w:hanging="360"/>
      </w:pPr>
      <w:rPr>
        <w:rFonts w:ascii="Wingdings" w:hAnsi="Wingdings" w:hint="default"/>
      </w:rPr>
    </w:lvl>
  </w:abstractNum>
  <w:abstractNum w:abstractNumId="5" w15:restartNumberingAfterBreak="0">
    <w:nsid w:val="63336E33"/>
    <w:multiLevelType w:val="hybridMultilevel"/>
    <w:tmpl w:val="F3FC9DAA"/>
    <w:lvl w:ilvl="0" w:tplc="D02815E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75521324"/>
    <w:multiLevelType w:val="multilevel"/>
    <w:tmpl w:val="00922352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22D"/>
    <w:rsid w:val="000073B7"/>
    <w:rsid w:val="0008149B"/>
    <w:rsid w:val="002B57E2"/>
    <w:rsid w:val="002D4DB6"/>
    <w:rsid w:val="0031222D"/>
    <w:rsid w:val="003A4286"/>
    <w:rsid w:val="00406FE2"/>
    <w:rsid w:val="004211E7"/>
    <w:rsid w:val="009F7D47"/>
    <w:rsid w:val="00BA2373"/>
    <w:rsid w:val="00C00A50"/>
    <w:rsid w:val="00C92C21"/>
    <w:rsid w:val="00F45911"/>
    <w:rsid w:val="00F47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EC30E-77C4-48E0-AEB9-390DF84F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pl-P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1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222D"/>
    <w:rPr>
      <w:rFonts w:ascii="Tahoma" w:hAnsi="Tahoma" w:cs="Tahoma"/>
      <w:sz w:val="16"/>
      <w:szCs w:val="16"/>
    </w:rPr>
  </w:style>
  <w:style w:type="character" w:customStyle="1" w:styleId="Teksttreci2">
    <w:name w:val="Tekst treści (2)_"/>
    <w:basedOn w:val="Domylnaczcionkaakapitu"/>
    <w:link w:val="Teksttreci20"/>
    <w:rsid w:val="0031222D"/>
    <w:rPr>
      <w:rFonts w:ascii="Calibri" w:eastAsia="Calibri" w:hAnsi="Calibri" w:cs="Calibri"/>
      <w:shd w:val="clear" w:color="auto" w:fill="FFFFFF"/>
    </w:rPr>
  </w:style>
  <w:style w:type="character" w:customStyle="1" w:styleId="PogrubienieTeksttreci226ptOdstpy0pt">
    <w:name w:val="Pogrubienie;Tekst treści (2) + 26 pt;Odstępy 0 pt"/>
    <w:basedOn w:val="Teksttreci2"/>
    <w:rsid w:val="0031222D"/>
    <w:rPr>
      <w:rFonts w:ascii="Calibri" w:eastAsia="Calibri" w:hAnsi="Calibri" w:cs="Calibri"/>
      <w:b/>
      <w:bCs/>
      <w:color w:val="000000"/>
      <w:spacing w:val="-10"/>
      <w:w w:val="100"/>
      <w:position w:val="0"/>
      <w:sz w:val="52"/>
      <w:szCs w:val="52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31222D"/>
    <w:pPr>
      <w:widowControl w:val="0"/>
      <w:shd w:val="clear" w:color="auto" w:fill="FFFFFF"/>
      <w:spacing w:before="420" w:after="0" w:line="331" w:lineRule="exact"/>
      <w:ind w:hanging="740"/>
      <w:jc w:val="both"/>
    </w:pPr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31222D"/>
    <w:pPr>
      <w:ind w:left="720"/>
      <w:contextualSpacing/>
    </w:pPr>
  </w:style>
  <w:style w:type="character" w:customStyle="1" w:styleId="Nagwek22">
    <w:name w:val="Nagłówek #2 (2)_"/>
    <w:basedOn w:val="Domylnaczcionkaakapitu"/>
    <w:link w:val="Nagwek220"/>
    <w:rsid w:val="0031222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31222D"/>
    <w:pPr>
      <w:widowControl w:val="0"/>
      <w:shd w:val="clear" w:color="auto" w:fill="FFFFFF"/>
      <w:spacing w:before="960" w:after="420" w:line="0" w:lineRule="atLeast"/>
      <w:ind w:hanging="720"/>
      <w:jc w:val="both"/>
      <w:outlineLvl w:val="1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Stopka3PalatinoLinotype75ptBezpogrubienia">
    <w:name w:val="Stopka (3) + Palatino Linotype;7;5 pt;Bez pogrubienia"/>
    <w:basedOn w:val="Domylnaczcionkaakapitu"/>
    <w:rsid w:val="0031222D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Stopka3">
    <w:name w:val="Stopka (3)"/>
    <w:basedOn w:val="Domylnaczcionkaakapitu"/>
    <w:rsid w:val="0031222D"/>
    <w:rPr>
      <w:rFonts w:ascii="Angsana New" w:eastAsia="Angsana New" w:hAnsi="Angsana New" w:cs="Angsana New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styleId="Hipercze">
    <w:name w:val="Hyperlink"/>
    <w:basedOn w:val="Domylnaczcionkaakapitu"/>
    <w:rsid w:val="0031222D"/>
    <w:rPr>
      <w:color w:val="0066CC"/>
      <w:u w:val="single"/>
    </w:rPr>
  </w:style>
  <w:style w:type="character" w:customStyle="1" w:styleId="Stopka30">
    <w:name w:val="Stopka (3)_"/>
    <w:basedOn w:val="Domylnaczcionkaakapitu"/>
    <w:rsid w:val="0031222D"/>
    <w:rPr>
      <w:rFonts w:ascii="Angsana New" w:eastAsia="Angsana New" w:hAnsi="Angsana New" w:cs="Angsana New"/>
      <w:b/>
      <w:bCs/>
      <w:i w:val="0"/>
      <w:iCs w:val="0"/>
      <w:smallCaps w:val="0"/>
      <w:strike w:val="0"/>
      <w:sz w:val="24"/>
      <w:szCs w:val="24"/>
      <w:u w:val="none"/>
    </w:rPr>
  </w:style>
  <w:style w:type="character" w:customStyle="1" w:styleId="PogrubienieTeksttreci2115pt">
    <w:name w:val="Pogrubienie;Tekst treści (2) + 11;5 pt"/>
    <w:basedOn w:val="Teksttreci2"/>
    <w:rsid w:val="0031222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pl-PL" w:eastAsia="pl-PL" w:bidi="pl-PL"/>
    </w:rPr>
  </w:style>
  <w:style w:type="character" w:customStyle="1" w:styleId="Teksttreci6">
    <w:name w:val="Tekst treści (6)_"/>
    <w:basedOn w:val="Domylnaczcionkaakapitu"/>
    <w:link w:val="Teksttreci60"/>
    <w:rsid w:val="0031222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character" w:customStyle="1" w:styleId="Teksttreci2Odstpy1pt">
    <w:name w:val="Tekst treści (2) + Odstępy 1 pt"/>
    <w:basedOn w:val="Teksttreci2"/>
    <w:rsid w:val="0031222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31222D"/>
    <w:pPr>
      <w:widowControl w:val="0"/>
      <w:shd w:val="clear" w:color="auto" w:fill="FFFFFF"/>
      <w:spacing w:before="300" w:after="420" w:line="0" w:lineRule="atLeast"/>
      <w:ind w:hanging="720"/>
      <w:jc w:val="both"/>
    </w:pPr>
    <w:rPr>
      <w:rFonts w:ascii="Calibri" w:eastAsia="Calibri" w:hAnsi="Calibri" w:cs="Calibri"/>
      <w:b/>
      <w:bCs/>
      <w:sz w:val="23"/>
      <w:szCs w:val="23"/>
    </w:rPr>
  </w:style>
  <w:style w:type="character" w:customStyle="1" w:styleId="Stopka4">
    <w:name w:val="Stopka (4)_"/>
    <w:basedOn w:val="Domylnaczcionkaakapitu"/>
    <w:link w:val="Stopka40"/>
    <w:rsid w:val="0031222D"/>
    <w:rPr>
      <w:rFonts w:ascii="Angsana New" w:eastAsia="Angsana New" w:hAnsi="Angsana New" w:cs="Angsana New"/>
      <w:b/>
      <w:bCs/>
      <w:sz w:val="28"/>
      <w:szCs w:val="28"/>
      <w:shd w:val="clear" w:color="auto" w:fill="FFFFFF"/>
    </w:rPr>
  </w:style>
  <w:style w:type="paragraph" w:customStyle="1" w:styleId="Stopka40">
    <w:name w:val="Stopka (4)"/>
    <w:basedOn w:val="Normalny"/>
    <w:link w:val="Stopka4"/>
    <w:rsid w:val="0031222D"/>
    <w:pPr>
      <w:widowControl w:val="0"/>
      <w:shd w:val="clear" w:color="auto" w:fill="FFFFFF"/>
      <w:spacing w:after="0" w:line="230" w:lineRule="exact"/>
    </w:pPr>
    <w:rPr>
      <w:rFonts w:ascii="Angsana New" w:eastAsia="Angsana New" w:hAnsi="Angsana New" w:cs="Angsana New"/>
      <w:b/>
      <w:bCs/>
      <w:sz w:val="28"/>
      <w:szCs w:val="28"/>
    </w:rPr>
  </w:style>
  <w:style w:type="character" w:customStyle="1" w:styleId="Teksttreci26pt">
    <w:name w:val="Tekst treści (2) + 6 pt"/>
    <w:basedOn w:val="Teksttreci2"/>
    <w:rsid w:val="009F7D4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pl-PL" w:eastAsia="pl-PL" w:bidi="pl-PL"/>
    </w:rPr>
  </w:style>
  <w:style w:type="character" w:customStyle="1" w:styleId="Teksttreci2PalatinoLinotype75pt">
    <w:name w:val="Tekst treści (2) + Palatino Linotype;7;5 pt"/>
    <w:basedOn w:val="Teksttreci2"/>
    <w:rsid w:val="009F7D47"/>
    <w:rPr>
      <w:rFonts w:ascii="Palatino Linotype" w:eastAsia="Palatino Linotype" w:hAnsi="Palatino Linotype" w:cs="Palatino Linotype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pl-PL" w:eastAsia="pl-PL" w:bidi="pl-PL"/>
    </w:rPr>
  </w:style>
  <w:style w:type="character" w:customStyle="1" w:styleId="Teksttreci2LucidaSansUnicode10ptKursywa">
    <w:name w:val="Tekst treści (2) + Lucida Sans Unicode;10 pt;Kursywa"/>
    <w:basedOn w:val="Teksttreci2"/>
    <w:rsid w:val="0008149B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ec.eurpna.eu/euDipeaid/work/procedures/implenientation/Der_diems/documents/perdiem_201012_version_to_be_publish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32B9B8-59BF-4A20-819E-ADC546F72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3927</Words>
  <Characters>23568</Characters>
  <Application>Microsoft Office Word</Application>
  <DocSecurity>4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Biuro Tłumaczeń VIVALANG | www.vivalang.pl</Company>
  <LinksUpToDate>false</LinksUpToDate>
  <CharactersWithSpaces>27441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Tłumaczeń VIVALANG | www.vivalang.pl</dc:creator>
  <cp:lastModifiedBy>Anna Michrowska</cp:lastModifiedBy>
  <cp:revision>2</cp:revision>
  <dcterms:created xsi:type="dcterms:W3CDTF">2019-11-08T11:23:00Z</dcterms:created>
  <dcterms:modified xsi:type="dcterms:W3CDTF">2019-11-08T11:23:00Z</dcterms:modified>
</cp:coreProperties>
</file>