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A434A" w14:textId="5DCD13C4" w:rsidR="00B06A6B" w:rsidRPr="00BF68D1" w:rsidRDefault="001A3FC4" w:rsidP="00B06A6B">
      <w:pPr>
        <w:jc w:val="center"/>
        <w:rPr>
          <w:sz w:val="48"/>
          <w:szCs w:val="48"/>
        </w:rPr>
      </w:pPr>
      <w:r>
        <w:rPr>
          <w:sz w:val="48"/>
        </w:rPr>
        <w:t>Cykl</w:t>
      </w:r>
      <w:r w:rsidR="00E00D1A">
        <w:rPr>
          <w:sz w:val="48"/>
        </w:rPr>
        <w:t xml:space="preserve"> seminariów:</w:t>
      </w:r>
    </w:p>
    <w:p w14:paraId="4E64749A" w14:textId="77777777" w:rsidR="00BD080C" w:rsidRDefault="00BD080C" w:rsidP="00B06A6B">
      <w:pPr>
        <w:jc w:val="center"/>
        <w:rPr>
          <w:sz w:val="48"/>
          <w:szCs w:val="48"/>
        </w:rPr>
      </w:pPr>
      <w:r>
        <w:rPr>
          <w:sz w:val="48"/>
        </w:rPr>
        <w:t>Europejski Trybunał Praw Człowieka jako integralna część metodologii sądowej</w:t>
      </w:r>
    </w:p>
    <w:p w14:paraId="7EDA288F" w14:textId="77777777" w:rsidR="00BD080C" w:rsidRDefault="00BD080C" w:rsidP="00B06A6B">
      <w:pPr>
        <w:jc w:val="center"/>
        <w:rPr>
          <w:sz w:val="48"/>
          <w:szCs w:val="48"/>
        </w:rPr>
      </w:pPr>
      <w:r>
        <w:rPr>
          <w:sz w:val="48"/>
        </w:rPr>
        <w:t>Uzasadnienia wyroków</w:t>
      </w:r>
    </w:p>
    <w:p w14:paraId="1252F661" w14:textId="77777777" w:rsidR="00B06A6B" w:rsidRDefault="00B06A6B" w:rsidP="00B06A6B">
      <w:pPr>
        <w:ind w:left="720"/>
        <w:jc w:val="center"/>
        <w:rPr>
          <w:sz w:val="48"/>
          <w:szCs w:val="48"/>
        </w:rPr>
      </w:pPr>
    </w:p>
    <w:p w14:paraId="13C2A79B" w14:textId="77777777" w:rsidR="00BD080C" w:rsidRDefault="00BD080C" w:rsidP="00B06A6B">
      <w:pPr>
        <w:jc w:val="center"/>
      </w:pPr>
    </w:p>
    <w:p w14:paraId="2DA499E9" w14:textId="77777777" w:rsidR="00C72C77" w:rsidRPr="009265A2" w:rsidRDefault="00055D69" w:rsidP="00B06A6B">
      <w:pPr>
        <w:rPr>
          <w:b/>
        </w:rPr>
      </w:pPr>
      <w:r>
        <w:rPr>
          <w:b/>
        </w:rPr>
        <w:t xml:space="preserve">Cele seminariów </w:t>
      </w:r>
    </w:p>
    <w:p w14:paraId="1EB146C1" w14:textId="47FC2D12" w:rsidR="00F267BD" w:rsidRDefault="00972DB0" w:rsidP="00055D69">
      <w:pPr>
        <w:jc w:val="both"/>
      </w:pPr>
      <w:r>
        <w:t xml:space="preserve">Na przestrzeni minionych dekad, zastosowanie i rozwój prawa we wszystkich krajach europejskich odbywał się pod coraz większym wpływem międzynarodowych i supranarodowych źródeł prawa. Głównymi źródłami były Europejska Konwencja Praw Człowieka oraz orzecznictwo Europejskiego Trybunału Praw Człowieka (ETPR), a także prawo wspólnotowe Unii Europejskiej i orzecznictwo Trybunału Sprawiedliwości Unii Europejskiej (TSUE). W zakresie stosowania praw człowieka, orzecznictwo ETPC i TSUE są wzajemnie powiązane. Seminaria skupią się na orzecznictwie ETPC, jednakże orzecznictwo TSUE również będzie wspominane. </w:t>
      </w:r>
    </w:p>
    <w:p w14:paraId="11F41C0E" w14:textId="77777777" w:rsidR="00AF51F2" w:rsidRDefault="00AF51F2" w:rsidP="00B06A6B"/>
    <w:p w14:paraId="5CE4F291" w14:textId="20F9F972" w:rsidR="00DA11FC" w:rsidRDefault="00AF51F2" w:rsidP="00055D69">
      <w:pPr>
        <w:jc w:val="both"/>
      </w:pPr>
      <w:r>
        <w:t>Zastosowanie otwartej i zwięzłej Konwencji wiąże się z zastosowaniem orzecznictwa ETPC. Można powiedzieć, że Konwencja jest tylko zbiorem różnych tekstów – dopóki nie weźmiemy pod uwagę orzecznictwa ETPC. To właśnie ETPC sprawił, że Konwencja stała się tym, czym dla nas dziś jest.</w:t>
      </w:r>
    </w:p>
    <w:p w14:paraId="563A8854" w14:textId="77777777" w:rsidR="006C294C" w:rsidRDefault="006C294C" w:rsidP="00B06A6B"/>
    <w:p w14:paraId="1E8CEEB0" w14:textId="26A724E7" w:rsidR="00886A1C" w:rsidRDefault="006C099F" w:rsidP="006C099F">
      <w:pPr>
        <w:jc w:val="both"/>
      </w:pPr>
      <w:r>
        <w:t xml:space="preserve">Aby wykazać zdolność krajowych systemów sądowych do przestrzegania i ochrony praw podstawowych chronionych Konwencją, uzasadnienia sądów krajowych muszą być przejrzyste. Źródła prawa stosowane przez ETPC są szersze niż tradycyjne koncepcje źródeł prawa w Europie Środkowej i Wschodniej (zbyt często ograniczają się one wyłącznie do legislacji z danego regionu). Sędziowie muszą opracować metodologię sądową, która umożliwia im połączenie wszystkich istotnych źródeł prawa, w tym orzecznictwa i powszechnych praktyk stosowania prawa. </w:t>
      </w:r>
    </w:p>
    <w:p w14:paraId="1FAD8632" w14:textId="77777777" w:rsidR="00797BEC" w:rsidRDefault="00797BEC" w:rsidP="00B06A6B"/>
    <w:p w14:paraId="5F01DEBD" w14:textId="2DFA4C3D" w:rsidR="00797BEC" w:rsidRDefault="00C6216D" w:rsidP="006C099F">
      <w:pPr>
        <w:jc w:val="both"/>
        <w:rPr>
          <w:i/>
        </w:rPr>
      </w:pPr>
      <w:r>
        <w:t xml:space="preserve">Aby podkreślić umiejętności sędziów, proponowana seria seminariów ma na celu ułatwienie </w:t>
      </w:r>
      <w:r>
        <w:rPr>
          <w:i/>
        </w:rPr>
        <w:t>przełożenia</w:t>
      </w:r>
      <w:r>
        <w:t xml:space="preserve"> ogólnej wiedzy płynącej z Konwencji na praktyczne zastosowania, poprzez skupienie się na </w:t>
      </w:r>
      <w:r>
        <w:rPr>
          <w:i/>
        </w:rPr>
        <w:t>uzasadnieniu wyroków</w:t>
      </w:r>
      <w:r>
        <w:t xml:space="preserve"> (lub, innymi słowy, uzasadnieniem orzeczeń sądowych).</w:t>
      </w:r>
      <w:r>
        <w:rPr>
          <w:i/>
        </w:rPr>
        <w:t xml:space="preserve"> </w:t>
      </w:r>
    </w:p>
    <w:p w14:paraId="65CAE9CD" w14:textId="77777777" w:rsidR="005F7B10" w:rsidRDefault="005F7B10" w:rsidP="00B06A6B">
      <w:pPr>
        <w:rPr>
          <w:i/>
        </w:rPr>
      </w:pPr>
    </w:p>
    <w:p w14:paraId="48CCC729" w14:textId="3BE94A9E" w:rsidR="00F874E6" w:rsidRDefault="002C6CD7" w:rsidP="002C6CD7">
      <w:pPr>
        <w:jc w:val="both"/>
      </w:pPr>
      <w:r>
        <w:t xml:space="preserve">Umiejętność konstruowania uzasadnień wyroków jest zjawiskiem, które w Europie Środkowej i Wschodniej jest jeszcze niezbyt dobrze zbadane. Uzasadnienia wyroków stanowią same w sobie istotny element sprawiedliwego procesu. Odpowiednie uzasadnienie sprawia, że konkluzja wyroku jest zrozumiała, i potwierdza, że nie uwzględniono rzeczy nieistotnych. Uzasadnienie wyroku stanowi zatem podstawę skutecznej apelacji, a także zapobiega dalszym niepotrzebnym procesom apelacyjnym, wspierając efektywność. </w:t>
      </w:r>
    </w:p>
    <w:p w14:paraId="73014CF4" w14:textId="77777777" w:rsidR="00FA0A4F" w:rsidRDefault="00FA0A4F" w:rsidP="00FA0A4F"/>
    <w:p w14:paraId="13F21D69" w14:textId="0C749412" w:rsidR="00FA0A4F" w:rsidRDefault="000267AD" w:rsidP="006D4BC3">
      <w:pPr>
        <w:jc w:val="both"/>
      </w:pPr>
      <w:r>
        <w:t xml:space="preserve">Seminaria przede wszystkim mają na celu sprawienie,  by Konwencja stała się widocznym elementem ich pracy sądowej, poprzez skupienie się na metodologii uzasadnień, lecz w ten sposób seminaria w naturalny sposób również zajmą się </w:t>
      </w:r>
      <w:r>
        <w:rPr>
          <w:i/>
        </w:rPr>
        <w:t>uzasadnieniami wyroków</w:t>
      </w:r>
      <w:r>
        <w:t xml:space="preserve">, jako wymogu podstawowego dla sprawiedliwego procesu. Seminaria rozpoczną się od </w:t>
      </w:r>
      <w:r>
        <w:lastRenderedPageBreak/>
        <w:t>prezentacji idealnych uzasadnień w krajowych kulturach prawnych (Polski, Czech, Rumunii, Litwy i Norwegii) – zostaną przedstawione różnice i podobieństwa pomiędzy nimi. Przykłady uzasadnień wyroków i ich analizy zostaną przedstawione przez właściwych prawników krajowych; obecna będzie również krytyka wyroków krajowych z punktu widzenia ETPC w wybranych orzeczeniach. Aby sprawić, by program był atrakcyjny dla uczestników, przedstawimy te przypadki na tle poszczególnych praw podstawowych chronionych przez Konwencję. Uczestnicy zobaczą zatem powiązanie pomiędzy prawidłową metodologią i wynikiem ochrony praw podstawowych.</w:t>
      </w:r>
    </w:p>
    <w:p w14:paraId="3A96E4DD" w14:textId="77777777" w:rsidR="00250028" w:rsidRDefault="00250028" w:rsidP="00FA0A4F">
      <w:pPr>
        <w:rPr>
          <w:b/>
        </w:rPr>
      </w:pPr>
    </w:p>
    <w:p w14:paraId="3D4D1357" w14:textId="1F7C30FA" w:rsidR="003E5B97" w:rsidRPr="005F72E5" w:rsidRDefault="00F8199E" w:rsidP="006D4BC3">
      <w:pPr>
        <w:jc w:val="both"/>
      </w:pPr>
      <w:r>
        <w:t>Grupą docelową seminariów są głównie sędziowie orzekający w sądach</w:t>
      </w:r>
      <w:r w:rsidR="001A3FC4">
        <w:t xml:space="preserve"> okręgowych i</w:t>
      </w:r>
      <w:bookmarkStart w:id="0" w:name="_GoBack"/>
      <w:bookmarkEnd w:id="0"/>
      <w:r>
        <w:t xml:space="preserve"> apelacyjnych.  </w:t>
      </w:r>
    </w:p>
    <w:p w14:paraId="50EBCDF7" w14:textId="77777777" w:rsidR="003629C5" w:rsidRDefault="005F72E5" w:rsidP="00B06A6B">
      <w:r>
        <w:rPr>
          <w:b/>
        </w:rPr>
        <w:t xml:space="preserve"> </w:t>
      </w:r>
    </w:p>
    <w:p w14:paraId="5D700A87" w14:textId="77777777" w:rsidR="00B06A6B" w:rsidRPr="00B06A6B" w:rsidRDefault="00B06A6B" w:rsidP="00B06A6B"/>
    <w:sectPr w:rsidR="00B06A6B" w:rsidRPr="00B06A6B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40" w:right="1418" w:bottom="144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8C571" w14:textId="77777777" w:rsidR="00D52E4F" w:rsidRDefault="00D52E4F">
      <w:r>
        <w:separator/>
      </w:r>
    </w:p>
  </w:endnote>
  <w:endnote w:type="continuationSeparator" w:id="0">
    <w:p w14:paraId="34CBF85B" w14:textId="77777777" w:rsidR="00D52E4F" w:rsidRDefault="00D5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3B8" w14:textId="77777777" w:rsidR="00823C35" w:rsidRDefault="00823C35">
    <w:pPr>
      <w:pStyle w:val="Stopka"/>
      <w:pBdr>
        <w:top w:val="single" w:sz="4" w:space="1" w:color="auto"/>
      </w:pBdr>
      <w:ind w:left="-1077" w:right="-618"/>
      <w:rPr>
        <w:spacing w:val="-2"/>
        <w:sz w:val="4"/>
      </w:rPr>
    </w:pPr>
  </w:p>
  <w:p w14:paraId="757654C6" w14:textId="77777777" w:rsidR="00823C35" w:rsidRDefault="00823C35" w:rsidP="00596BDD">
    <w:pPr>
      <w:pStyle w:val="Stopka"/>
      <w:pBdr>
        <w:top w:val="single" w:sz="4" w:space="1" w:color="auto"/>
      </w:pBdr>
      <w:spacing w:before="20"/>
      <w:ind w:left="-1077" w:right="-6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9B34C" w14:textId="77777777" w:rsidR="00D52E4F" w:rsidRDefault="00D52E4F">
      <w:r>
        <w:separator/>
      </w:r>
    </w:p>
  </w:footnote>
  <w:footnote w:type="continuationSeparator" w:id="0">
    <w:p w14:paraId="3F98C5A5" w14:textId="77777777" w:rsidR="00D52E4F" w:rsidRDefault="00D5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AA991" w14:textId="77777777" w:rsidR="00823C35" w:rsidRDefault="00823C3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CC8002F" w14:textId="77777777" w:rsidR="00823C35" w:rsidRDefault="00823C3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4B9C9" w14:textId="77777777" w:rsidR="00823C35" w:rsidRDefault="00823C3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3FC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581D3A" w14:textId="77777777" w:rsidR="00823C35" w:rsidRDefault="00823C35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0078F" w14:textId="77777777" w:rsidR="00823C35" w:rsidRDefault="00823C35">
    <w:pPr>
      <w:pStyle w:val="Nagwek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AAC697" wp14:editId="549133A5">
              <wp:simplePos x="0" y="0"/>
              <wp:positionH relativeFrom="page">
                <wp:posOffset>165735</wp:posOffset>
              </wp:positionH>
              <wp:positionV relativeFrom="page">
                <wp:posOffset>3657600</wp:posOffset>
              </wp:positionV>
              <wp:extent cx="252095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10="urn:schemas-microsoft-com:office:word" xmlns:v="urn:schemas-microsoft-com:vml" xmlns:o="urn:schemas-microsoft-com:office:office" xmlns:mv="urn:schemas-microsoft-com:mac:vml" xmlns:mo="http://schemas.microsoft.com/office/mac/office/2008/main" xmlns:w="http://schemas.openxmlformats.org/wordprocessingml/2006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10="urn:schemas-microsoft-com:office:word" xmlns:v="urn:schemas-microsoft-com:vml" xmlns:o="urn:schemas-microsoft-com:office:office" xmlns:mv="urn:schemas-microsoft-com:mac:vml" xmlns:mo="http://schemas.microsoft.com/office/mac/office/2008/main" xmlns:w="http://schemas.openxmlformats.org/wordprocessingml/2006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982A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05pt,4in" to="32.9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" o:allowincell="f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85898"/>
    <w:multiLevelType w:val="hybridMultilevel"/>
    <w:tmpl w:val="A90261B0"/>
    <w:lvl w:ilvl="0" w:tplc="608E8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55700"/>
    <w:multiLevelType w:val="hybridMultilevel"/>
    <w:tmpl w:val="F8F0D46E"/>
    <w:lvl w:ilvl="0" w:tplc="D17ACC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83F67"/>
    <w:multiLevelType w:val="hybridMultilevel"/>
    <w:tmpl w:val="A06006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B"/>
    <w:rsid w:val="0000341A"/>
    <w:rsid w:val="000267AD"/>
    <w:rsid w:val="00027EDA"/>
    <w:rsid w:val="000362D9"/>
    <w:rsid w:val="00055D69"/>
    <w:rsid w:val="000B478E"/>
    <w:rsid w:val="000B484C"/>
    <w:rsid w:val="000B650A"/>
    <w:rsid w:val="000C31E5"/>
    <w:rsid w:val="000C3EBF"/>
    <w:rsid w:val="000E4534"/>
    <w:rsid w:val="000F200F"/>
    <w:rsid w:val="000F6551"/>
    <w:rsid w:val="0013725E"/>
    <w:rsid w:val="001821B8"/>
    <w:rsid w:val="001A3FC4"/>
    <w:rsid w:val="001F16BA"/>
    <w:rsid w:val="00212D3C"/>
    <w:rsid w:val="00250028"/>
    <w:rsid w:val="00264B30"/>
    <w:rsid w:val="0029054B"/>
    <w:rsid w:val="002A436C"/>
    <w:rsid w:val="002A6E8A"/>
    <w:rsid w:val="002B5C55"/>
    <w:rsid w:val="002C6CD7"/>
    <w:rsid w:val="00307102"/>
    <w:rsid w:val="00315BF7"/>
    <w:rsid w:val="003605F3"/>
    <w:rsid w:val="003629C5"/>
    <w:rsid w:val="00391019"/>
    <w:rsid w:val="003A4C33"/>
    <w:rsid w:val="003E5B97"/>
    <w:rsid w:val="00473A49"/>
    <w:rsid w:val="00483A35"/>
    <w:rsid w:val="00487ABA"/>
    <w:rsid w:val="004A5C50"/>
    <w:rsid w:val="004B6534"/>
    <w:rsid w:val="004F029A"/>
    <w:rsid w:val="004F1C94"/>
    <w:rsid w:val="0051423A"/>
    <w:rsid w:val="0054642E"/>
    <w:rsid w:val="00565D60"/>
    <w:rsid w:val="00575239"/>
    <w:rsid w:val="00594E09"/>
    <w:rsid w:val="00596BDD"/>
    <w:rsid w:val="005C20FD"/>
    <w:rsid w:val="005D30B4"/>
    <w:rsid w:val="005E70E4"/>
    <w:rsid w:val="005F72E5"/>
    <w:rsid w:val="005F7B10"/>
    <w:rsid w:val="00686FDC"/>
    <w:rsid w:val="006C099F"/>
    <w:rsid w:val="006C294C"/>
    <w:rsid w:val="006C74C1"/>
    <w:rsid w:val="006D4BC3"/>
    <w:rsid w:val="00715D6C"/>
    <w:rsid w:val="00727556"/>
    <w:rsid w:val="0075284F"/>
    <w:rsid w:val="00797BEC"/>
    <w:rsid w:val="007B1B81"/>
    <w:rsid w:val="00823C35"/>
    <w:rsid w:val="00832416"/>
    <w:rsid w:val="00880E5C"/>
    <w:rsid w:val="00886A1C"/>
    <w:rsid w:val="008910CE"/>
    <w:rsid w:val="00891AF7"/>
    <w:rsid w:val="008C2B6D"/>
    <w:rsid w:val="008D5637"/>
    <w:rsid w:val="009265A2"/>
    <w:rsid w:val="00941C4F"/>
    <w:rsid w:val="00972DB0"/>
    <w:rsid w:val="00997D58"/>
    <w:rsid w:val="009F5A7F"/>
    <w:rsid w:val="00A74E3E"/>
    <w:rsid w:val="00AC7AE8"/>
    <w:rsid w:val="00AF51F2"/>
    <w:rsid w:val="00B06A6B"/>
    <w:rsid w:val="00B12709"/>
    <w:rsid w:val="00B262A6"/>
    <w:rsid w:val="00B31C98"/>
    <w:rsid w:val="00B52B89"/>
    <w:rsid w:val="00B5520B"/>
    <w:rsid w:val="00B62227"/>
    <w:rsid w:val="00B839FF"/>
    <w:rsid w:val="00BD080C"/>
    <w:rsid w:val="00BF68D1"/>
    <w:rsid w:val="00C25B30"/>
    <w:rsid w:val="00C6216D"/>
    <w:rsid w:val="00C72C77"/>
    <w:rsid w:val="00C83CD8"/>
    <w:rsid w:val="00CA1E39"/>
    <w:rsid w:val="00D055BC"/>
    <w:rsid w:val="00D11EBE"/>
    <w:rsid w:val="00D25705"/>
    <w:rsid w:val="00D37D40"/>
    <w:rsid w:val="00D4631E"/>
    <w:rsid w:val="00D52E4F"/>
    <w:rsid w:val="00DA11FC"/>
    <w:rsid w:val="00DC5256"/>
    <w:rsid w:val="00DD163A"/>
    <w:rsid w:val="00DD51EE"/>
    <w:rsid w:val="00DE2140"/>
    <w:rsid w:val="00E00D1A"/>
    <w:rsid w:val="00E30490"/>
    <w:rsid w:val="00E5351E"/>
    <w:rsid w:val="00ED7A51"/>
    <w:rsid w:val="00F15923"/>
    <w:rsid w:val="00F267BD"/>
    <w:rsid w:val="00F32835"/>
    <w:rsid w:val="00F41C6C"/>
    <w:rsid w:val="00F577BB"/>
    <w:rsid w:val="00F8199E"/>
    <w:rsid w:val="00F874E6"/>
    <w:rsid w:val="00FA0A4F"/>
    <w:rsid w:val="00FC5514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78785"/>
  <w15:docId w15:val="{E63726EA-4EC1-4532-B270-BE4B208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Pr>
      <w:b/>
      <w:szCs w:val="20"/>
    </w:rPr>
  </w:style>
  <w:style w:type="paragraph" w:styleId="Tekstprzypisudolnego">
    <w:name w:val="footnote text"/>
    <w:basedOn w:val="Normalny"/>
    <w:link w:val="TekstprzypisudolnegoZnak"/>
    <w:rsid w:val="007B1B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1B81"/>
    <w:rPr>
      <w:lang w:eastAsia="pl-PL"/>
    </w:rPr>
  </w:style>
  <w:style w:type="character" w:styleId="Odwoanieprzypisudolnego">
    <w:name w:val="footnote reference"/>
    <w:basedOn w:val="Domylnaczcionkaakapitu"/>
    <w:rsid w:val="007B1B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5637"/>
    <w:pPr>
      <w:ind w:left="72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rsid w:val="0036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5D30B4"/>
    <w:rPr>
      <w:rFonts w:ascii="Consolas" w:eastAsiaTheme="minorHAnsi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30B4"/>
    <w:rPr>
      <w:rFonts w:ascii="Consolas" w:eastAsiaTheme="minorHAnsi" w:hAnsi="Consolas" w:cs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250028"/>
    <w:pPr>
      <w:spacing w:before="144" w:after="144"/>
      <w:jc w:val="both"/>
    </w:pPr>
  </w:style>
  <w:style w:type="character" w:styleId="Pogrubienie">
    <w:name w:val="Strong"/>
    <w:basedOn w:val="Domylnaczcionkaakapitu"/>
    <w:uiPriority w:val="22"/>
    <w:qFormat/>
    <w:rsid w:val="00250028"/>
    <w:rPr>
      <w:b/>
      <w:bCs/>
    </w:rPr>
  </w:style>
  <w:style w:type="paragraph" w:styleId="Tekstdymka">
    <w:name w:val="Balloon Text"/>
    <w:basedOn w:val="Normalny"/>
    <w:link w:val="TekstdymkaZnak"/>
    <w:rsid w:val="00E00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0D1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2516">
                                      <w:marLeft w:val="0"/>
                                      <w:marRight w:val="0"/>
                                      <w:marTop w:val="12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7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85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5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034B-B53E-4A1E-BAAF-9A9EACF9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Brevmal_DA</vt:lpstr>
      <vt:lpstr>Brevmal_DA</vt:lpstr>
      <vt:lpstr>Brevmal_DA</vt:lpstr>
    </vt:vector>
  </TitlesOfParts>
  <Company>Domstoladministrasjonen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Brevmal_DA</dc:title>
  <dc:creator>Berg, Audun Hognes</dc:creator>
  <cp:lastModifiedBy>Olga Binert</cp:lastModifiedBy>
  <cp:revision>3</cp:revision>
  <cp:lastPrinted>2003-06-19T12:50:00Z</cp:lastPrinted>
  <dcterms:created xsi:type="dcterms:W3CDTF">2015-08-11T12:19:00Z</dcterms:created>
  <dcterms:modified xsi:type="dcterms:W3CDTF">2015-08-11T12:34:00Z</dcterms:modified>
</cp:coreProperties>
</file>