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4E5DE1">
        <w:rPr>
          <w:rFonts w:ascii="Bookman Old Style" w:hAnsi="Bookman Old Style"/>
        </w:rPr>
        <w:t>4</w:t>
      </w:r>
      <w:r w:rsidR="00390CAF">
        <w:rPr>
          <w:rFonts w:ascii="Bookman Old Style" w:hAnsi="Bookman Old Style"/>
        </w:rPr>
        <w:t>.2017</w:t>
      </w:r>
    </w:p>
    <w:p w:rsidR="000A78A4" w:rsidRPr="00390CAF" w:rsidRDefault="00390CAF"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 xml:space="preserve">C </w:t>
      </w:r>
      <w:r w:rsidR="0039166C" w:rsidRPr="00390CAF">
        <w:rPr>
          <w:rFonts w:ascii="Bookman Old Style" w:hAnsi="Bookman Old Style"/>
          <w:lang w:val="en-US"/>
        </w:rPr>
        <w:t>8/</w:t>
      </w:r>
      <w:r w:rsidR="004E5DE1">
        <w:rPr>
          <w:rFonts w:ascii="Bookman Old Style" w:hAnsi="Bookman Old Style"/>
          <w:lang w:val="en-US"/>
        </w:rPr>
        <w:t>C</w:t>
      </w:r>
      <w:r w:rsidR="00E740A0" w:rsidRPr="00390CAF">
        <w:rPr>
          <w:rFonts w:ascii="Bookman Old Style" w:hAnsi="Bookman Old Style"/>
          <w:lang w:val="en-US"/>
        </w:rPr>
        <w:t>/</w:t>
      </w:r>
      <w:r w:rsidR="0039166C" w:rsidRPr="00390CAF">
        <w:rPr>
          <w:rFonts w:ascii="Bookman Old Style" w:hAnsi="Bookman Old Style"/>
          <w:lang w:val="en-US"/>
        </w:rPr>
        <w:t>17</w:t>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425E32" w:rsidRPr="00390CAF">
        <w:rPr>
          <w:rFonts w:ascii="Bookman Old Style" w:hAnsi="Bookman Old Style"/>
          <w:lang w:val="en-US"/>
        </w:rPr>
        <w:t xml:space="preserve">  </w:t>
      </w:r>
      <w:r>
        <w:rPr>
          <w:rFonts w:ascii="Bookman Old Style" w:hAnsi="Bookman Old Style"/>
          <w:lang w:val="en-US"/>
        </w:rPr>
        <w:tab/>
      </w:r>
      <w:r>
        <w:rPr>
          <w:rFonts w:ascii="Bookman Old Style" w:hAnsi="Bookman Old Style"/>
          <w:lang w:val="en-US"/>
        </w:rPr>
        <w:tab/>
        <w:t xml:space="preserve">       </w:t>
      </w:r>
      <w:r w:rsidR="000A78A4" w:rsidRPr="00390CAF">
        <w:rPr>
          <w:rFonts w:ascii="Bookman Old Style" w:hAnsi="Bookman Old Style"/>
          <w:lang w:val="en-US"/>
        </w:rPr>
        <w:t>Lublin,</w:t>
      </w:r>
      <w:r w:rsidRPr="00390CAF">
        <w:rPr>
          <w:rFonts w:ascii="Bookman Old Style" w:hAnsi="Bookman Old Style"/>
          <w:lang w:val="en-US"/>
        </w:rPr>
        <w:t xml:space="preserve"> 07 marca</w:t>
      </w:r>
      <w:r w:rsidR="00425E32" w:rsidRPr="00390CAF">
        <w:rPr>
          <w:rFonts w:ascii="Bookman Old Style" w:hAnsi="Bookman Old Style"/>
          <w:lang w:val="en-US"/>
        </w:rPr>
        <w:t xml:space="preserve"> </w:t>
      </w:r>
      <w:r w:rsidR="000A78A4" w:rsidRPr="00390CAF">
        <w:rPr>
          <w:rFonts w:ascii="Bookman Old Style" w:hAnsi="Bookman Old Style"/>
          <w:lang w:val="en-US"/>
        </w:rPr>
        <w:t>201</w:t>
      </w:r>
      <w:r w:rsidRPr="00390CAF">
        <w:rPr>
          <w:rFonts w:ascii="Bookman Old Style" w:hAnsi="Bookman Old Style"/>
          <w:lang w:val="en-US"/>
        </w:rPr>
        <w:t>7r.</w:t>
      </w:r>
      <w:r w:rsidR="000A78A4" w:rsidRPr="00390CAF">
        <w:rPr>
          <w:rFonts w:ascii="Bookman Old Style" w:hAnsi="Bookman Old Style"/>
          <w:lang w:val="en-US"/>
        </w:rPr>
        <w:t xml:space="preserve"> </w:t>
      </w:r>
    </w:p>
    <w:p w:rsidR="000A78A4" w:rsidRPr="009406B1" w:rsidRDefault="008E656B"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4E5DE1">
        <w:rPr>
          <w:rFonts w:ascii="Bookman Old Style" w:hAnsi="Bookman Old Style"/>
        </w:rPr>
        <w:t xml:space="preserve">katowickiej </w:t>
      </w:r>
      <w:r w:rsidR="008E656B">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8E656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E656B"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8E656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E656B"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4E5DE1" w:rsidRPr="007D03E0" w:rsidRDefault="004E5DE1" w:rsidP="004E5DE1">
      <w:pPr>
        <w:spacing w:line="276" w:lineRule="auto"/>
        <w:rPr>
          <w:rFonts w:ascii="Bookman Old Style" w:hAnsi="Bookman Old Style"/>
        </w:rPr>
      </w:pPr>
      <w:r>
        <w:rPr>
          <w:rFonts w:ascii="Bookman Old Style" w:hAnsi="Bookman Old Style"/>
        </w:rPr>
        <w:t>4 października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Okręgowy w Gliwicach</w:t>
      </w:r>
    </w:p>
    <w:p w:rsidR="004E5DE1" w:rsidRPr="007D03E0" w:rsidRDefault="00160B29" w:rsidP="004E5DE1">
      <w:pPr>
        <w:spacing w:line="276" w:lineRule="auto"/>
        <w:ind w:left="2832" w:firstLine="708"/>
        <w:rPr>
          <w:rFonts w:ascii="Bookman Old Style" w:hAnsi="Bookman Old Style"/>
        </w:rPr>
      </w:pPr>
      <w:r>
        <w:rPr>
          <w:rFonts w:ascii="Bookman Old Style" w:hAnsi="Bookman Old Style"/>
        </w:rPr>
        <w:t>u</w:t>
      </w:r>
      <w:r w:rsidR="004E5DE1">
        <w:rPr>
          <w:rFonts w:ascii="Bookman Old Style" w:hAnsi="Bookman Old Style"/>
        </w:rPr>
        <w:t>l. Zawiszy Czarnego 1 F, 44-100 Gliwice</w:t>
      </w:r>
    </w:p>
    <w:p w:rsidR="006D112B" w:rsidRPr="007D03E0" w:rsidRDefault="004E5DE1" w:rsidP="00160B29">
      <w:pPr>
        <w:spacing w:line="276" w:lineRule="auto"/>
        <w:ind w:left="3540"/>
        <w:rPr>
          <w:rFonts w:ascii="Bookman Old Style" w:hAnsi="Bookman Old Style"/>
        </w:rPr>
      </w:pPr>
      <w:r>
        <w:rPr>
          <w:rFonts w:ascii="Bookman Old Style" w:hAnsi="Bookman Old Style"/>
        </w:rPr>
        <w:t xml:space="preserve">sala konferencyjna </w:t>
      </w:r>
      <w:r w:rsidR="00160B29">
        <w:rPr>
          <w:rFonts w:ascii="Bookman Old Style" w:hAnsi="Bookman Old Style"/>
        </w:rPr>
        <w:t xml:space="preserve">mieszcząca się </w:t>
      </w:r>
      <w:r w:rsidR="00160B29">
        <w:rPr>
          <w:rFonts w:ascii="Bookman Old Style" w:hAnsi="Bookman Old Style"/>
        </w:rPr>
        <w:br/>
        <w:t>w budynku Sali Rozpraw Karnych</w:t>
      </w:r>
    </w:p>
    <w:p w:rsidR="000A78A4" w:rsidRPr="009406B1" w:rsidRDefault="008E656B"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E656B"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8E656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E656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organizacyjnie:</w:t>
      </w:r>
    </w:p>
    <w:p w:rsidR="00DE1EF1" w:rsidRDefault="0017055B"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inspektor Eliza Danielewska</w:t>
      </w:r>
    </w:p>
    <w:p w:rsidR="00105AB9" w:rsidRPr="0017055B" w:rsidRDefault="00105AB9" w:rsidP="0039166C">
      <w:pPr>
        <w:pStyle w:val="Akapitzlist"/>
        <w:spacing w:before="60"/>
        <w:ind w:left="284"/>
        <w:jc w:val="both"/>
        <w:rPr>
          <w:rFonts w:ascii="Bookman Old Style" w:hAnsi="Bookman Old Style"/>
          <w:sz w:val="22"/>
          <w:szCs w:val="22"/>
          <w:lang w:val="en-US"/>
        </w:rPr>
      </w:pPr>
      <w:r w:rsidRPr="0017055B">
        <w:rPr>
          <w:rFonts w:ascii="Bookman Old Style" w:hAnsi="Bookman Old Style"/>
          <w:sz w:val="22"/>
          <w:szCs w:val="22"/>
          <w:lang w:val="en-US"/>
        </w:rPr>
        <w:t>tel: 81 458 37 42</w:t>
      </w:r>
    </w:p>
    <w:p w:rsidR="00105AB9" w:rsidRPr="00E740A0" w:rsidRDefault="00105AB9" w:rsidP="0039166C">
      <w:pPr>
        <w:pStyle w:val="Akapitzlist"/>
        <w:spacing w:before="60"/>
        <w:ind w:left="284"/>
        <w:jc w:val="both"/>
        <w:rPr>
          <w:rFonts w:ascii="Bookman Old Style" w:hAnsi="Bookman Old Style"/>
          <w:sz w:val="22"/>
          <w:szCs w:val="22"/>
          <w:lang w:val="en-US"/>
        </w:rPr>
      </w:pPr>
      <w:r w:rsidRPr="00DE1EF1">
        <w:rPr>
          <w:rFonts w:ascii="Bookman Old Style" w:hAnsi="Bookman Old Style"/>
          <w:sz w:val="22"/>
          <w:szCs w:val="22"/>
          <w:lang w:val="en-US"/>
        </w:rPr>
        <w:t xml:space="preserve">mail: </w:t>
      </w:r>
      <w:bookmarkStart w:id="0" w:name="_GoBack"/>
      <w:bookmarkEnd w:id="0"/>
      <w:r w:rsidR="0017055B">
        <w:rPr>
          <w:rFonts w:ascii="Bookman Old Style" w:hAnsi="Bookman Old Style"/>
          <w:sz w:val="22"/>
          <w:szCs w:val="22"/>
          <w:lang w:val="en-US"/>
        </w:rPr>
        <w:fldChar w:fldCharType="begin"/>
      </w:r>
      <w:r w:rsidR="0017055B">
        <w:rPr>
          <w:rFonts w:ascii="Bookman Old Style" w:hAnsi="Bookman Old Style"/>
          <w:sz w:val="22"/>
          <w:szCs w:val="22"/>
          <w:lang w:val="en-US"/>
        </w:rPr>
        <w:instrText xml:space="preserve"> HYPERLINK "mailto:</w:instrText>
      </w:r>
      <w:r w:rsidR="0017055B" w:rsidRPr="0017055B">
        <w:rPr>
          <w:rFonts w:ascii="Bookman Old Style" w:hAnsi="Bookman Old Style"/>
          <w:sz w:val="22"/>
          <w:szCs w:val="22"/>
          <w:lang w:val="en-US"/>
        </w:rPr>
        <w:instrText>e.danielewska@kssip.gov.pl</w:instrText>
      </w:r>
      <w:r w:rsidR="0017055B">
        <w:rPr>
          <w:rFonts w:ascii="Bookman Old Style" w:hAnsi="Bookman Old Style"/>
          <w:sz w:val="22"/>
          <w:szCs w:val="22"/>
          <w:lang w:val="en-US"/>
        </w:rPr>
        <w:instrText xml:space="preserve">" </w:instrText>
      </w:r>
      <w:r w:rsidR="0017055B">
        <w:rPr>
          <w:rFonts w:ascii="Bookman Old Style" w:hAnsi="Bookman Old Style"/>
          <w:sz w:val="22"/>
          <w:szCs w:val="22"/>
          <w:lang w:val="en-US"/>
        </w:rPr>
        <w:fldChar w:fldCharType="separate"/>
      </w:r>
      <w:r w:rsidR="0017055B" w:rsidRPr="00F9447E">
        <w:rPr>
          <w:rStyle w:val="Hipercze"/>
          <w:rFonts w:ascii="Bookman Old Style" w:hAnsi="Bookman Old Style"/>
          <w:sz w:val="22"/>
          <w:szCs w:val="22"/>
          <w:lang w:val="en-US"/>
        </w:rPr>
        <w:t>e.danielewska@kssip.gov.pl</w:t>
      </w:r>
      <w:r w:rsidR="0017055B">
        <w:rPr>
          <w:rFonts w:ascii="Bookman Old Style" w:hAnsi="Bookman Old Style"/>
          <w:sz w:val="22"/>
          <w:szCs w:val="22"/>
          <w:lang w:val="en-US"/>
        </w:rPr>
        <w:fldChar w:fldCharType="end"/>
      </w:r>
    </w:p>
    <w:p w:rsidR="00425E32" w:rsidRPr="00B71092" w:rsidRDefault="00425E32" w:rsidP="00160B29">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8E656B"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E656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8E656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4E5DE1" w:rsidP="000A78A4">
      <w:pPr>
        <w:ind w:right="-709"/>
        <w:rPr>
          <w:rFonts w:ascii="Bookman Old Style" w:hAnsi="Bookman Old Style"/>
          <w:b/>
        </w:rPr>
      </w:pPr>
      <w:r>
        <w:rPr>
          <w:rFonts w:ascii="Bookman Old Style" w:hAnsi="Bookman Old Style"/>
          <w:b/>
        </w:rPr>
        <w:t>Środa</w:t>
      </w:r>
      <w:r w:rsidR="00D81D69">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sidRPr="004E5DE1">
        <w:rPr>
          <w:rFonts w:ascii="Bookman Old Style" w:hAnsi="Bookman Old Style"/>
          <w:b/>
        </w:rPr>
        <w:t xml:space="preserve">4 października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8E656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AE3239" w:rsidRPr="00160B29" w:rsidRDefault="002163BA" w:rsidP="00160B29">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lastRenderedPageBreak/>
        <w:t>szczegółowe zagadnienia dotyczące postępowania d</w:t>
      </w:r>
      <w:r w:rsidR="007B3C56" w:rsidRPr="001955CE">
        <w:rPr>
          <w:rFonts w:ascii="Bookman Old Style" w:hAnsi="Bookman Old Style"/>
          <w:szCs w:val="24"/>
        </w:rPr>
        <w:t>owodowego w sprawach działowych.</w:t>
      </w: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8E656B" w:rsidP="00CE39A1">
      <w:pPr>
        <w:jc w:val="center"/>
        <w:rPr>
          <w:rFonts w:ascii="Bookman Old Style" w:hAnsi="Bookman Old Style"/>
          <w:sz w:val="20"/>
          <w:szCs w:val="20"/>
        </w:rPr>
      </w:pPr>
      <w:hyperlink r:id="rId11"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2"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56B" w:rsidRDefault="008E656B" w:rsidP="00E31115">
      <w:r>
        <w:separator/>
      </w:r>
    </w:p>
  </w:endnote>
  <w:endnote w:type="continuationSeparator" w:id="0">
    <w:p w:rsidR="008E656B" w:rsidRDefault="008E656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56B" w:rsidRDefault="008E656B" w:rsidP="00E31115">
      <w:r>
        <w:separator/>
      </w:r>
    </w:p>
  </w:footnote>
  <w:footnote w:type="continuationSeparator" w:id="0">
    <w:p w:rsidR="008E656B" w:rsidRDefault="008E656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F53CB"/>
    <w:rsid w:val="00105AB9"/>
    <w:rsid w:val="00150585"/>
    <w:rsid w:val="0015249E"/>
    <w:rsid w:val="00160B29"/>
    <w:rsid w:val="00161EC4"/>
    <w:rsid w:val="00164034"/>
    <w:rsid w:val="0017055B"/>
    <w:rsid w:val="001707CE"/>
    <w:rsid w:val="0017548D"/>
    <w:rsid w:val="00192E49"/>
    <w:rsid w:val="001955CE"/>
    <w:rsid w:val="001E667A"/>
    <w:rsid w:val="00214465"/>
    <w:rsid w:val="002163BA"/>
    <w:rsid w:val="0028508E"/>
    <w:rsid w:val="002A4AA1"/>
    <w:rsid w:val="002B1263"/>
    <w:rsid w:val="002B7231"/>
    <w:rsid w:val="00341DC2"/>
    <w:rsid w:val="00353B21"/>
    <w:rsid w:val="003663BB"/>
    <w:rsid w:val="0038351D"/>
    <w:rsid w:val="00390CAF"/>
    <w:rsid w:val="0039166C"/>
    <w:rsid w:val="00393104"/>
    <w:rsid w:val="003A64D7"/>
    <w:rsid w:val="003D61AB"/>
    <w:rsid w:val="003F0A22"/>
    <w:rsid w:val="003F6879"/>
    <w:rsid w:val="004070FB"/>
    <w:rsid w:val="00425E32"/>
    <w:rsid w:val="0043393B"/>
    <w:rsid w:val="00447768"/>
    <w:rsid w:val="0049426B"/>
    <w:rsid w:val="004E4749"/>
    <w:rsid w:val="004E5DE1"/>
    <w:rsid w:val="00505973"/>
    <w:rsid w:val="00537384"/>
    <w:rsid w:val="00556117"/>
    <w:rsid w:val="005626CF"/>
    <w:rsid w:val="00573211"/>
    <w:rsid w:val="005A0CC6"/>
    <w:rsid w:val="005F542B"/>
    <w:rsid w:val="00622B1C"/>
    <w:rsid w:val="00645D8C"/>
    <w:rsid w:val="006A0C55"/>
    <w:rsid w:val="006C6051"/>
    <w:rsid w:val="006D112B"/>
    <w:rsid w:val="006D48FC"/>
    <w:rsid w:val="006E2D17"/>
    <w:rsid w:val="006E7165"/>
    <w:rsid w:val="006E718D"/>
    <w:rsid w:val="006F6371"/>
    <w:rsid w:val="00722BD1"/>
    <w:rsid w:val="00725DFC"/>
    <w:rsid w:val="00732003"/>
    <w:rsid w:val="007A02D8"/>
    <w:rsid w:val="007B3C56"/>
    <w:rsid w:val="007D03E0"/>
    <w:rsid w:val="008277AD"/>
    <w:rsid w:val="00830B32"/>
    <w:rsid w:val="00835AFB"/>
    <w:rsid w:val="00842F67"/>
    <w:rsid w:val="00864626"/>
    <w:rsid w:val="008738E2"/>
    <w:rsid w:val="008D1A5E"/>
    <w:rsid w:val="008D62E1"/>
    <w:rsid w:val="008E40A3"/>
    <w:rsid w:val="008E656B"/>
    <w:rsid w:val="00934933"/>
    <w:rsid w:val="00980F43"/>
    <w:rsid w:val="009920B9"/>
    <w:rsid w:val="00992F12"/>
    <w:rsid w:val="009A3738"/>
    <w:rsid w:val="009F6A3C"/>
    <w:rsid w:val="009F6E53"/>
    <w:rsid w:val="00A020F6"/>
    <w:rsid w:val="00A55BBE"/>
    <w:rsid w:val="00A97EA5"/>
    <w:rsid w:val="00AB583B"/>
    <w:rsid w:val="00AD5F49"/>
    <w:rsid w:val="00AD6205"/>
    <w:rsid w:val="00AE3239"/>
    <w:rsid w:val="00AE5131"/>
    <w:rsid w:val="00B71092"/>
    <w:rsid w:val="00BB39D0"/>
    <w:rsid w:val="00BF04C5"/>
    <w:rsid w:val="00C46900"/>
    <w:rsid w:val="00C94186"/>
    <w:rsid w:val="00CC5E18"/>
    <w:rsid w:val="00CE1FFB"/>
    <w:rsid w:val="00CE39A1"/>
    <w:rsid w:val="00D81D69"/>
    <w:rsid w:val="00D82D32"/>
    <w:rsid w:val="00D841FD"/>
    <w:rsid w:val="00D91331"/>
    <w:rsid w:val="00DA3258"/>
    <w:rsid w:val="00DE10D2"/>
    <w:rsid w:val="00DE1EF1"/>
    <w:rsid w:val="00E24761"/>
    <w:rsid w:val="00E31115"/>
    <w:rsid w:val="00E331C4"/>
    <w:rsid w:val="00E740A0"/>
    <w:rsid w:val="00F04336"/>
    <w:rsid w:val="00F27A97"/>
    <w:rsid w:val="00F429E4"/>
    <w:rsid w:val="00F53836"/>
    <w:rsid w:val="00F84D1F"/>
    <w:rsid w:val="00F8554D"/>
    <w:rsid w:val="00FA7AD2"/>
    <w:rsid w:val="00FB533A"/>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6D95-539A-4C69-8A25-59C304B1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598</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Eliza Danielewska</cp:lastModifiedBy>
  <cp:revision>5</cp:revision>
  <cp:lastPrinted>2017-01-27T09:57:00Z</cp:lastPrinted>
  <dcterms:created xsi:type="dcterms:W3CDTF">2017-03-07T12:06:00Z</dcterms:created>
  <dcterms:modified xsi:type="dcterms:W3CDTF">2017-05-11T06:24:00Z</dcterms:modified>
</cp:coreProperties>
</file>