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DF0" w:rsidRDefault="00191DF0" w:rsidP="00381C4E">
      <w:pPr>
        <w:shd w:val="clear" w:color="auto" w:fill="FFFFFF"/>
        <w:ind w:left="269"/>
        <w:rPr>
          <w:sz w:val="90"/>
        </w:rPr>
      </w:pPr>
      <w:r>
        <w:rPr>
          <w:sz w:val="90"/>
        </w:rPr>
        <w:t>Zarządzanie przepływem spraw</w:t>
      </w:r>
    </w:p>
    <w:p w:rsidR="00191DF0" w:rsidRPr="00381C4E" w:rsidRDefault="0052264E" w:rsidP="00381C4E">
      <w:pPr>
        <w:shd w:val="clear" w:color="auto" w:fill="FFFFFF"/>
        <w:ind w:left="269"/>
        <w:jc w:val="center"/>
      </w:pPr>
      <w:r>
        <w:rPr>
          <w:rFonts w:ascii="Times New Roman" w:hAnsi="Times New Roman" w:cs="Times New Roman"/>
          <w:noProof/>
          <w:sz w:val="24"/>
          <w:szCs w:val="24"/>
        </w:rPr>
        <w:drawing>
          <wp:inline distT="0" distB="0" distL="0" distR="0">
            <wp:extent cx="4901565" cy="3328035"/>
            <wp:effectExtent l="0" t="0" r="0" b="571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01565" cy="3328035"/>
                    </a:xfrm>
                    <a:prstGeom prst="rect">
                      <a:avLst/>
                    </a:prstGeom>
                    <a:noFill/>
                    <a:ln>
                      <a:noFill/>
                    </a:ln>
                  </pic:spPr>
                </pic:pic>
              </a:graphicData>
            </a:graphic>
          </wp:inline>
        </w:drawing>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002"/>
        <w:gridCol w:w="5002"/>
      </w:tblGrid>
      <w:tr w:rsidR="00381C4E" w:rsidRPr="00C27A12" w:rsidTr="00381C4E">
        <w:trPr>
          <w:trHeight w:hRule="exact" w:val="498"/>
          <w:jc w:val="center"/>
        </w:trPr>
        <w:tc>
          <w:tcPr>
            <w:tcW w:w="5002" w:type="dxa"/>
            <w:shd w:val="clear" w:color="auto" w:fill="FFFFFF"/>
          </w:tcPr>
          <w:p w:rsidR="00381C4E" w:rsidRPr="00316332" w:rsidRDefault="00381C4E" w:rsidP="00051C31">
            <w:pPr>
              <w:shd w:val="clear" w:color="auto" w:fill="FFFFFF"/>
              <w:ind w:left="142"/>
              <w:rPr>
                <w:sz w:val="24"/>
                <w:szCs w:val="24"/>
              </w:rPr>
            </w:pPr>
            <w:r w:rsidRPr="00316332">
              <w:rPr>
                <w:sz w:val="24"/>
                <w:szCs w:val="24"/>
                <w:lang w:val="en-US"/>
              </w:rPr>
              <w:t>Ministry of Justice</w:t>
            </w:r>
          </w:p>
        </w:tc>
        <w:tc>
          <w:tcPr>
            <w:tcW w:w="5002" w:type="dxa"/>
            <w:shd w:val="clear" w:color="auto" w:fill="FFFFFF"/>
          </w:tcPr>
          <w:p w:rsidR="00381C4E" w:rsidRPr="00C27A12" w:rsidRDefault="00381C4E" w:rsidP="00316332">
            <w:pPr>
              <w:shd w:val="clear" w:color="auto" w:fill="FFFFFF"/>
              <w:ind w:left="142"/>
              <w:rPr>
                <w:sz w:val="24"/>
                <w:szCs w:val="24"/>
              </w:rPr>
            </w:pPr>
            <w:r w:rsidRPr="00C27A12">
              <w:rPr>
                <w:sz w:val="24"/>
              </w:rPr>
              <w:t>Ministerstwo Sprawiedliwości</w:t>
            </w:r>
          </w:p>
        </w:tc>
      </w:tr>
      <w:tr w:rsidR="00381C4E" w:rsidRPr="00C27A12" w:rsidTr="00381C4E">
        <w:trPr>
          <w:trHeight w:hRule="exact" w:val="575"/>
          <w:jc w:val="center"/>
        </w:trPr>
        <w:tc>
          <w:tcPr>
            <w:tcW w:w="5002" w:type="dxa"/>
            <w:shd w:val="clear" w:color="auto" w:fill="FFFFFF"/>
          </w:tcPr>
          <w:p w:rsidR="00381C4E" w:rsidRPr="00316332" w:rsidRDefault="00381C4E" w:rsidP="00051C31">
            <w:pPr>
              <w:shd w:val="clear" w:color="auto" w:fill="FFFFFF"/>
              <w:ind w:left="142"/>
              <w:rPr>
                <w:sz w:val="24"/>
                <w:szCs w:val="24"/>
              </w:rPr>
            </w:pPr>
            <w:r w:rsidRPr="00316332">
              <w:rPr>
                <w:sz w:val="24"/>
                <w:szCs w:val="24"/>
                <w:lang w:val="en-US"/>
              </w:rPr>
              <w:t>Allocation of judicial resources</w:t>
            </w:r>
          </w:p>
        </w:tc>
        <w:tc>
          <w:tcPr>
            <w:tcW w:w="5002" w:type="dxa"/>
            <w:shd w:val="clear" w:color="auto" w:fill="FFFFFF"/>
          </w:tcPr>
          <w:p w:rsidR="00381C4E" w:rsidRPr="00C27A12" w:rsidRDefault="00381C4E" w:rsidP="00316332">
            <w:pPr>
              <w:shd w:val="clear" w:color="auto" w:fill="FFFFFF"/>
              <w:ind w:left="142"/>
              <w:rPr>
                <w:sz w:val="24"/>
                <w:szCs w:val="24"/>
              </w:rPr>
            </w:pPr>
            <w:r w:rsidRPr="00C27A12">
              <w:rPr>
                <w:sz w:val="24"/>
              </w:rPr>
              <w:t>Przydział zasobów prawnych do wykorzystania</w:t>
            </w:r>
          </w:p>
        </w:tc>
      </w:tr>
      <w:tr w:rsidR="00381C4E" w:rsidRPr="00C27A12" w:rsidTr="00381C4E">
        <w:trPr>
          <w:trHeight w:hRule="exact" w:val="427"/>
          <w:jc w:val="center"/>
        </w:trPr>
        <w:tc>
          <w:tcPr>
            <w:tcW w:w="5002" w:type="dxa"/>
            <w:shd w:val="clear" w:color="auto" w:fill="FFFFFF"/>
          </w:tcPr>
          <w:p w:rsidR="00381C4E" w:rsidRPr="00316332" w:rsidRDefault="00381C4E" w:rsidP="00051C31">
            <w:pPr>
              <w:shd w:val="clear" w:color="auto" w:fill="FFFFFF"/>
              <w:ind w:left="142"/>
              <w:rPr>
                <w:sz w:val="24"/>
                <w:szCs w:val="24"/>
              </w:rPr>
            </w:pPr>
            <w:r w:rsidRPr="00316332">
              <w:rPr>
                <w:sz w:val="24"/>
                <w:szCs w:val="24"/>
                <w:lang w:val="en-US"/>
              </w:rPr>
              <w:t>Presidium of the Court</w:t>
            </w:r>
          </w:p>
        </w:tc>
        <w:tc>
          <w:tcPr>
            <w:tcW w:w="5002" w:type="dxa"/>
            <w:shd w:val="clear" w:color="auto" w:fill="FFFFFF"/>
          </w:tcPr>
          <w:p w:rsidR="00381C4E" w:rsidRPr="00C27A12" w:rsidRDefault="00381C4E" w:rsidP="00316332">
            <w:pPr>
              <w:shd w:val="clear" w:color="auto" w:fill="FFFFFF"/>
              <w:ind w:left="142"/>
              <w:rPr>
                <w:sz w:val="24"/>
                <w:szCs w:val="24"/>
              </w:rPr>
            </w:pPr>
            <w:r w:rsidRPr="00C27A12">
              <w:rPr>
                <w:sz w:val="24"/>
              </w:rPr>
              <w:t>Prezydium Sądu</w:t>
            </w:r>
          </w:p>
        </w:tc>
      </w:tr>
      <w:tr w:rsidR="00381C4E" w:rsidRPr="00C27A12" w:rsidTr="00381C4E">
        <w:trPr>
          <w:trHeight w:hRule="exact" w:val="561"/>
          <w:jc w:val="center"/>
        </w:trPr>
        <w:tc>
          <w:tcPr>
            <w:tcW w:w="5002" w:type="dxa"/>
            <w:shd w:val="clear" w:color="auto" w:fill="FFFFFF"/>
          </w:tcPr>
          <w:p w:rsidR="00381C4E" w:rsidRPr="00316332" w:rsidRDefault="00381C4E" w:rsidP="00051C31">
            <w:pPr>
              <w:shd w:val="clear" w:color="auto" w:fill="FFFFFF"/>
              <w:ind w:left="142"/>
              <w:rPr>
                <w:sz w:val="24"/>
                <w:szCs w:val="24"/>
              </w:rPr>
            </w:pPr>
            <w:r w:rsidRPr="00316332">
              <w:rPr>
                <w:sz w:val="24"/>
                <w:szCs w:val="24"/>
                <w:lang w:val="en-US"/>
              </w:rPr>
              <w:t>Allocation of cases</w:t>
            </w:r>
          </w:p>
          <w:p w:rsidR="00381C4E" w:rsidRPr="00316332" w:rsidRDefault="00381C4E" w:rsidP="00051C31">
            <w:pPr>
              <w:shd w:val="clear" w:color="auto" w:fill="FFFFFF"/>
              <w:ind w:left="142"/>
              <w:rPr>
                <w:sz w:val="24"/>
                <w:szCs w:val="24"/>
              </w:rPr>
            </w:pPr>
          </w:p>
        </w:tc>
        <w:tc>
          <w:tcPr>
            <w:tcW w:w="5002" w:type="dxa"/>
            <w:shd w:val="clear" w:color="auto" w:fill="FFFFFF"/>
          </w:tcPr>
          <w:p w:rsidR="00381C4E" w:rsidRPr="00C27A12" w:rsidRDefault="00381C4E" w:rsidP="00316332">
            <w:pPr>
              <w:shd w:val="clear" w:color="auto" w:fill="FFFFFF"/>
              <w:ind w:left="142"/>
              <w:rPr>
                <w:sz w:val="24"/>
                <w:szCs w:val="24"/>
              </w:rPr>
            </w:pPr>
            <w:r w:rsidRPr="00C27A12">
              <w:rPr>
                <w:sz w:val="24"/>
              </w:rPr>
              <w:t>Przydział spraw</w:t>
            </w:r>
          </w:p>
          <w:p w:rsidR="00381C4E" w:rsidRPr="00C27A12" w:rsidRDefault="00381C4E" w:rsidP="00316332">
            <w:pPr>
              <w:shd w:val="clear" w:color="auto" w:fill="FFFFFF"/>
              <w:ind w:left="142"/>
              <w:rPr>
                <w:sz w:val="24"/>
                <w:szCs w:val="24"/>
              </w:rPr>
            </w:pPr>
          </w:p>
        </w:tc>
      </w:tr>
      <w:tr w:rsidR="00381C4E" w:rsidRPr="00C27A12" w:rsidTr="00381C4E">
        <w:trPr>
          <w:trHeight w:hRule="exact" w:val="569"/>
          <w:jc w:val="center"/>
        </w:trPr>
        <w:tc>
          <w:tcPr>
            <w:tcW w:w="5002" w:type="dxa"/>
            <w:shd w:val="clear" w:color="auto" w:fill="FFFFFF"/>
          </w:tcPr>
          <w:p w:rsidR="00381C4E" w:rsidRPr="00316332" w:rsidRDefault="00381C4E" w:rsidP="00051C31">
            <w:pPr>
              <w:shd w:val="clear" w:color="auto" w:fill="FFFFFF"/>
              <w:ind w:left="142"/>
              <w:rPr>
                <w:sz w:val="24"/>
                <w:szCs w:val="24"/>
              </w:rPr>
            </w:pPr>
            <w:r w:rsidRPr="00316332">
              <w:rPr>
                <w:sz w:val="24"/>
                <w:szCs w:val="24"/>
                <w:lang w:val="en-US"/>
              </w:rPr>
              <w:t>Judges</w:t>
            </w:r>
          </w:p>
        </w:tc>
        <w:tc>
          <w:tcPr>
            <w:tcW w:w="5002" w:type="dxa"/>
            <w:shd w:val="clear" w:color="auto" w:fill="FFFFFF"/>
          </w:tcPr>
          <w:p w:rsidR="00381C4E" w:rsidRPr="00C27A12" w:rsidRDefault="00381C4E" w:rsidP="00316332">
            <w:pPr>
              <w:shd w:val="clear" w:color="auto" w:fill="FFFFFF"/>
              <w:ind w:left="142"/>
              <w:rPr>
                <w:sz w:val="24"/>
                <w:szCs w:val="24"/>
              </w:rPr>
            </w:pPr>
            <w:r w:rsidRPr="00C27A12">
              <w:rPr>
                <w:sz w:val="24"/>
              </w:rPr>
              <w:t>Sędziowie</w:t>
            </w:r>
          </w:p>
        </w:tc>
      </w:tr>
    </w:tbl>
    <w:p w:rsidR="00191DF0" w:rsidRPr="00316332" w:rsidRDefault="00191DF0">
      <w:pPr>
        <w:sectPr w:rsidR="00191DF0" w:rsidRPr="00316332" w:rsidSect="00381C4E">
          <w:type w:val="continuous"/>
          <w:pgSz w:w="16834" w:h="11909" w:orient="landscape"/>
          <w:pgMar w:top="1417" w:right="1417" w:bottom="1417" w:left="1417" w:header="708" w:footer="708" w:gutter="0"/>
          <w:cols w:space="60"/>
          <w:noEndnote/>
          <w:docGrid w:linePitch="272"/>
        </w:sectPr>
      </w:pPr>
    </w:p>
    <w:p w:rsidR="00191DF0" w:rsidRPr="00316332" w:rsidRDefault="00191DF0">
      <w:pPr>
        <w:shd w:val="clear" w:color="auto" w:fill="FFFFFF"/>
        <w:spacing w:line="326" w:lineRule="exact"/>
        <w:ind w:left="101" w:right="1229"/>
      </w:pPr>
      <w:r>
        <w:rPr>
          <w:b/>
          <w:sz w:val="28"/>
        </w:rPr>
        <w:lastRenderedPageBreak/>
        <w:t>Pierwsze seminarium „Zarządzanie przepływem spraw/zarządzanie sprawami” 10-12 grudzień 2012</w:t>
      </w:r>
    </w:p>
    <w:p w:rsidR="00191DF0" w:rsidRPr="00316332" w:rsidRDefault="00191DF0">
      <w:pPr>
        <w:shd w:val="clear" w:color="auto" w:fill="FFFFFF"/>
        <w:spacing w:before="638"/>
        <w:ind w:left="91"/>
      </w:pPr>
      <w:r>
        <w:rPr>
          <w:b/>
          <w:sz w:val="28"/>
        </w:rPr>
        <w:t>Część I: Zarządzanie przepływem spraw</w:t>
      </w:r>
    </w:p>
    <w:p w:rsidR="00191DF0" w:rsidRPr="00316332" w:rsidRDefault="00191DF0">
      <w:pPr>
        <w:shd w:val="clear" w:color="auto" w:fill="FFFFFF"/>
        <w:spacing w:before="274"/>
        <w:ind w:left="72"/>
      </w:pPr>
      <w:r>
        <w:rPr>
          <w:b/>
          <w:sz w:val="24"/>
        </w:rPr>
        <w:t>Przydział zasobów prawnych do wykorzystania</w:t>
      </w:r>
    </w:p>
    <w:p w:rsidR="00191DF0" w:rsidRPr="00316332" w:rsidRDefault="00191DF0">
      <w:pPr>
        <w:shd w:val="clear" w:color="auto" w:fill="FFFFFF"/>
        <w:spacing w:before="278" w:line="274" w:lineRule="exact"/>
        <w:ind w:left="67"/>
      </w:pPr>
      <w:r>
        <w:rPr>
          <w:sz w:val="24"/>
        </w:rPr>
        <w:t>Od lata 2005, sądy i urzędy prokuratury mają dostęp do programu komputerowego Jasper. Jasper to program, który służy obliczaniu zapotrzebowania na zasoby ludzkie w danym miesiącu. Jasper oblicza zapotrzebowanie na sędziów, starszych rangą komorników, urzędników i pracowników biurowych. Zapotrzebowanie wszystkich sądów okręgowych w Saksonii wynosi 209,56 sędziów, sąd okręgowy w Lipsku (kod numer 1500) potrzebuje 63,31 sędziów. Pod pojęciem sędzia należy rozumieć pełnoetatowego pracownika (pe</w:t>
      </w:r>
      <w:r>
        <w:rPr>
          <w:sz w:val="24"/>
          <w:szCs w:val="24"/>
          <w:cs/>
        </w:rPr>
        <w:t>‎</w:t>
      </w:r>
      <w:r>
        <w:rPr>
          <w:sz w:val="24"/>
        </w:rPr>
        <w:t>łny etat). W przypadku cywilnych spraw spornych i niespornych, istnieje zapotrzebowanie na 30,14 sędziów. W jaki sposób ustalą się tę liczbę? Przede wszystkim, t</w:t>
      </w:r>
      <w:bookmarkStart w:id="0" w:name="_GoBack"/>
      <w:bookmarkEnd w:id="0"/>
      <w:r>
        <w:rPr>
          <w:sz w:val="24"/>
        </w:rPr>
        <w:t>rzeba znać roczną ilość czasu pracy jednego sędziego czy innego pracownika.</w:t>
      </w:r>
    </w:p>
    <w:p w:rsidR="00191DF0" w:rsidRPr="00316332" w:rsidRDefault="00191DF0">
      <w:pPr>
        <w:shd w:val="clear" w:color="auto" w:fill="FFFFFF"/>
        <w:spacing w:before="278" w:line="274" w:lineRule="exact"/>
        <w:ind w:left="43"/>
      </w:pPr>
      <w:r>
        <w:rPr>
          <w:sz w:val="24"/>
        </w:rPr>
        <w:t>W roku 2012 średni roczny czas pracy sędziego jest ograniczony do 99524 minut (1658,73 godzin). Wed</w:t>
      </w:r>
      <w:r>
        <w:rPr>
          <w:sz w:val="24"/>
          <w:szCs w:val="24"/>
          <w:cs/>
        </w:rPr>
        <w:t>‎</w:t>
      </w:r>
      <w:r>
        <w:rPr>
          <w:sz w:val="24"/>
        </w:rPr>
        <w:t>ług Pebbsy, średni czas poświęcony jednej sprawie z kategorii dotyczącej odpowiedzialności lekarza, prawa budowlanego, przepisów architektonicznych itp. zajmuje 900 minut. To oznacza, że w ciągu rocznego czasu pracy, jeden sędzia ma możliwość zamknięcia 110,58 spraw w tej kategorii. Statystyki pokazują, że w roku 2012 sąd okręgowy w Lipsku będzie musiał zajmować się 587 sprawami dotyczących tych szczególnych obszarów prawa. Tym samym, sąd potrzebuje 5,31 sędziów, którzy zajmą się tymi sprawami. Zasadniczo, do zwykłych spraw cywilnych istnieje potrzebnych jest 11,18 sędziów, gdyż należy się spodziewać 2270 spraw i tym samym, według Pebbsy, jeden sędzia potrzebuje średnio 490 minut na każdą sprawę. W sprawach odwoławczych w obszarze prawa cywilnego, zakładając, że średni czas pracy na jedną sprawą wynosi 550 minut, potrzeba 3,91 sędziów do obsługi 707 spraw w roku 2012.</w:t>
      </w:r>
    </w:p>
    <w:p w:rsidR="00191DF0" w:rsidRPr="00316332" w:rsidRDefault="00191DF0">
      <w:pPr>
        <w:shd w:val="clear" w:color="auto" w:fill="FFFFFF"/>
        <w:spacing w:before="274" w:line="278" w:lineRule="exact"/>
        <w:ind w:left="48"/>
      </w:pPr>
      <w:r>
        <w:rPr>
          <w:sz w:val="24"/>
        </w:rPr>
        <w:t>Widzimy więc, że odnośnie sędziów przewodniczących Izby Handlowej łączne zapotrzebowanie wynosi 2,4 sędziów, a w przypadku sędziów w sprawach karnych łączna liczba wynosi 24,48.</w:t>
      </w:r>
    </w:p>
    <w:p w:rsidR="00191DF0" w:rsidRPr="00316332" w:rsidRDefault="00191DF0">
      <w:pPr>
        <w:shd w:val="clear" w:color="auto" w:fill="FFFFFF"/>
        <w:spacing w:before="269" w:line="278" w:lineRule="exact"/>
        <w:ind w:left="34"/>
      </w:pPr>
      <w:r>
        <w:rPr>
          <w:sz w:val="24"/>
        </w:rPr>
        <w:t>Zapotrzebowanie na pracowników biurowych zajmujących się sprawami spornymi i bezspornymi prawa cywilnego wynosi 27,84 osób na pełnych etatach.</w:t>
      </w:r>
    </w:p>
    <w:p w:rsidR="00191DF0" w:rsidRPr="00316332" w:rsidRDefault="00191DF0">
      <w:pPr>
        <w:shd w:val="clear" w:color="auto" w:fill="FFFFFF"/>
        <w:spacing w:before="274"/>
        <w:ind w:left="34"/>
      </w:pPr>
      <w:r>
        <w:rPr>
          <w:b/>
          <w:sz w:val="24"/>
        </w:rPr>
        <w:t>(Za</w:t>
      </w:r>
      <w:r>
        <w:rPr>
          <w:b/>
          <w:bCs/>
          <w:sz w:val="24"/>
          <w:szCs w:val="24"/>
          <w:cs/>
        </w:rPr>
        <w:t>‎</w:t>
      </w:r>
      <w:r>
        <w:rPr>
          <w:b/>
          <w:sz w:val="24"/>
        </w:rPr>
        <w:t xml:space="preserve">łącznik nr 1 </w:t>
      </w:r>
      <w:r>
        <w:rPr>
          <w:sz w:val="24"/>
        </w:rPr>
        <w:t xml:space="preserve">- </w:t>
      </w:r>
      <w:r>
        <w:rPr>
          <w:b/>
          <w:sz w:val="24"/>
        </w:rPr>
        <w:t>Jaspers)</w:t>
      </w:r>
    </w:p>
    <w:p w:rsidR="00191DF0" w:rsidRPr="00316332" w:rsidRDefault="00191DF0">
      <w:pPr>
        <w:shd w:val="clear" w:color="auto" w:fill="FFFFFF"/>
        <w:spacing w:before="274" w:line="274" w:lineRule="exact"/>
      </w:pPr>
      <w:r>
        <w:rPr>
          <w:sz w:val="24"/>
        </w:rPr>
        <w:t>Obliczenia komputerowe dotyczące zapotrzebowania na zasoby ludzkie dokonane za pomocą systemu Jasper umożliwiają dokonanie porównania potrzeb z rzeczywistością. W ten sposób można zobaczyć różnicę pomiędzy liczbą potrzebnych sędziów a liczbą sędziów aktualnie zatrudnionych. Obliczone całościowe zapotrzebowanie w zwykłej jurysdykcji w Saksonii wynosi 719,02 sędziów zatrudnionych w pełnym wymiarze czasu, przy posiadanych jedynie 691,17 sędziach zatrudnionych na pełny etat. To oznacza braki personelu wynoszące 27,85 sędziów, tym samym zapotrzebowanie na personel pokryte jest jedynie w 96,13%.</w:t>
      </w:r>
    </w:p>
    <w:p w:rsidR="00191DF0" w:rsidRPr="00316332" w:rsidRDefault="00191DF0">
      <w:pPr>
        <w:shd w:val="clear" w:color="auto" w:fill="FFFFFF"/>
        <w:spacing w:before="264"/>
        <w:ind w:left="14"/>
      </w:pPr>
      <w:r>
        <w:rPr>
          <w:b/>
          <w:sz w:val="24"/>
        </w:rPr>
        <w:t>(Załącznik nr 2 - przegląd pracowników [Personaliibersichten])</w:t>
      </w:r>
    </w:p>
    <w:p w:rsidR="00191DF0" w:rsidRPr="00316332" w:rsidRDefault="00191DF0" w:rsidP="00316332">
      <w:pPr>
        <w:shd w:val="clear" w:color="auto" w:fill="FFFFFF"/>
        <w:spacing w:before="278" w:line="274" w:lineRule="exact"/>
        <w:ind w:left="10"/>
      </w:pPr>
      <w:r>
        <w:rPr>
          <w:sz w:val="24"/>
        </w:rPr>
        <w:lastRenderedPageBreak/>
        <w:t>Wielkość obciążenia sprawami rośnie w ujęciu miesięcznym. Dane pochodzą z programu komputerowego forumSTAR. Jako przykład widzimy miesięczne dane zebrane dla V</w:t>
      </w:r>
      <w:r>
        <w:t xml:space="preserve"> </w:t>
      </w:r>
      <w:r>
        <w:rPr>
          <w:sz w:val="24"/>
        </w:rPr>
        <w:t>Wydziału Cywilnego sądu okręgowego w Lipsku za miesiąc sierpień 2012: W sierpniu 2012 roku, V Wydział Cywilny mia</w:t>
      </w:r>
      <w:r>
        <w:rPr>
          <w:sz w:val="24"/>
          <w:szCs w:val="24"/>
          <w:cs/>
        </w:rPr>
        <w:t>‎</w:t>
      </w:r>
      <w:r>
        <w:rPr>
          <w:sz w:val="24"/>
        </w:rPr>
        <w:t>ł 292 niezakończone sprawy, 38 spraw przychodzących i 37 spraw zamkniętych, co oznaczało 293 spraw na koniec okresu.</w:t>
      </w:r>
    </w:p>
    <w:p w:rsidR="00191DF0" w:rsidRPr="00316332" w:rsidRDefault="00191DF0">
      <w:pPr>
        <w:shd w:val="clear" w:color="auto" w:fill="FFFFFF"/>
        <w:spacing w:before="274"/>
        <w:ind w:left="86"/>
      </w:pPr>
      <w:r>
        <w:rPr>
          <w:b/>
          <w:sz w:val="24"/>
        </w:rPr>
        <w:t>(Załącznik nr 3 - obciążenie pracą [Geschaftsanfall])</w:t>
      </w:r>
    </w:p>
    <w:p w:rsidR="00191DF0" w:rsidRPr="00316332" w:rsidRDefault="00191DF0">
      <w:pPr>
        <w:shd w:val="clear" w:color="auto" w:fill="FFFFFF"/>
        <w:spacing w:before="278" w:line="274" w:lineRule="exact"/>
        <w:ind w:left="72"/>
      </w:pPr>
      <w:r>
        <w:rPr>
          <w:sz w:val="24"/>
        </w:rPr>
        <w:t>Liczby te pochodzą z miesięcznych statystyk dla każdego wydziału sądu okręgowego w Lipsku. Przedstawione obciążenie liczbą spraw dotyczy wszystkich wydziałów, cywilnych, gospodarczych i karnych. Tutaj widzimy jedynie obciążenie sprawami dla całego wydziału, a nie dla każdej sekcji wydziału. Wymieniony został jedynie sędzia przewodniczący. Podobna statystyka dotyczy sądów rejonowych. Ponadto dostępne są zbiory bardziej złożonych danych, które są ogłaszane przez Biuro Statystyczne Saksonii. Tutaj można znaleźć np. cały czas przebiegu danej sprawy.</w:t>
      </w:r>
    </w:p>
    <w:p w:rsidR="00191DF0" w:rsidRPr="00316332" w:rsidRDefault="00191DF0">
      <w:pPr>
        <w:shd w:val="clear" w:color="auto" w:fill="FFFFFF"/>
        <w:spacing w:before="278" w:line="274" w:lineRule="exact"/>
        <w:ind w:left="58"/>
      </w:pPr>
      <w:r>
        <w:rPr>
          <w:sz w:val="24"/>
        </w:rPr>
        <w:t>Przydziałem sędziów do poszczególnych sądów zajmuje się Ministerstwo Sprawiedliwości Saksonii. Należy pamiętać, że sędzia nie może zostać przeniesiony do innego sądu wbrew swojej woli. Tym samym, Ministerstwu Sprawiedliwości Saksonii trudno jest przenosić sędziów z Drezna do Lipska, mimo że w Lipsku istnieje zapotrzebowanie na sędziów w Lipsku, a w Dreźnie jest więcej sędziów niż potrzeba. Dlatego też, reagowanie na problemy związane z przerostem i brakiem kadr jest takie trudne.</w:t>
      </w:r>
    </w:p>
    <w:p w:rsidR="00191DF0" w:rsidRPr="00316332" w:rsidRDefault="00191DF0">
      <w:pPr>
        <w:shd w:val="clear" w:color="auto" w:fill="FFFFFF"/>
        <w:spacing w:before="269"/>
        <w:ind w:left="43"/>
      </w:pPr>
      <w:r>
        <w:rPr>
          <w:b/>
          <w:sz w:val="24"/>
        </w:rPr>
        <w:t>Przydział spraw</w:t>
      </w:r>
    </w:p>
    <w:p w:rsidR="00191DF0" w:rsidRPr="00316332" w:rsidRDefault="00191DF0">
      <w:pPr>
        <w:shd w:val="clear" w:color="auto" w:fill="FFFFFF"/>
        <w:spacing w:before="283" w:line="274" w:lineRule="exact"/>
        <w:ind w:left="24"/>
      </w:pPr>
      <w:r>
        <w:rPr>
          <w:sz w:val="24"/>
        </w:rPr>
        <w:t>Prezydium lub komitet prezydium dokonuje przydziału spraw w ramach sądów. W skład prezydium wchodzi sędzia przewodniczący i wybrani sędziowie - którzy zostali wybrani przez wszystkich sędziów sądu, na przykład prezydium sądu okręgowego Lipsku składa się z ośmiu wybranych sędziów, ponieważ w sądzie tym jest ponad czterdzieści stałych stanowisk sędziowskich. Prezydium ustala skład składów orzekających i przydziela zadania do realizacji przez sąd. Ustalenia mogą zostać zmienione tylko w ciągu roku działalności, jeżeli jest to konieczne ze względu na nadmierne lub niewystarczające obciążenie pracą danego sędziego lub składu orzekającego. (§21 e ust. 1 i 3 CCA (Ustawy o ustroju sądów)).</w:t>
      </w:r>
      <w:r>
        <w:rPr>
          <w:rStyle w:val="Odwoanieprzypisudolnego"/>
          <w:rFonts w:cs="Arial"/>
          <w:sz w:val="24"/>
        </w:rPr>
        <w:footnoteReference w:id="1"/>
      </w:r>
      <w:r>
        <w:rPr>
          <w:sz w:val="24"/>
        </w:rPr>
        <w:t xml:space="preserve"> Prezes sądu określa </w:t>
      </w:r>
      <w:r>
        <w:rPr>
          <w:sz w:val="24"/>
        </w:rPr>
        <w:lastRenderedPageBreak/>
        <w:t>liczbę składów orzekających. Pierwotnie decyzja w tej sprawie należała do Ministra Sprawiedliwości.</w:t>
      </w:r>
    </w:p>
    <w:p w:rsidR="00191DF0" w:rsidRPr="00316332" w:rsidRDefault="00191DF0" w:rsidP="00316332">
      <w:pPr>
        <w:shd w:val="clear" w:color="auto" w:fill="FFFFFF"/>
        <w:spacing w:before="542" w:line="283" w:lineRule="exact"/>
        <w:ind w:left="19"/>
        <w:jc w:val="both"/>
      </w:pPr>
      <w:r>
        <w:rPr>
          <w:sz w:val="24"/>
        </w:rPr>
        <w:t>Przydział spraw sądowych musi odbywać się w sposób obiektywny; nie wolno przydzielać określonej sprawy danemu sędziemu. To oznaczałoby naruszenie zasady dotyczącej „prawego i bezstronnego sędziego”, która obowiązuje w niemieckiej konstytucji. Jest to szczególnie ważne w sprawach karnych.</w:t>
      </w:r>
    </w:p>
    <w:p w:rsidR="00191DF0" w:rsidRPr="00316332" w:rsidRDefault="00191DF0">
      <w:pPr>
        <w:shd w:val="clear" w:color="auto" w:fill="FFFFFF"/>
        <w:spacing w:before="278" w:line="274" w:lineRule="exact"/>
        <w:ind w:left="67"/>
      </w:pPr>
      <w:r>
        <w:rPr>
          <w:sz w:val="24"/>
        </w:rPr>
        <w:t>Jakkolwiek system Pebbsy stosuje się do przydziału sędziów, to jednak nie stosuje się go do wewnętrznych rocznych harmonogramów zadań obowiązujących w danym sądzie. Możecie Państwo zastanawiać się, dlaczego Pebbsy nie jest stosowany do przydziału spraw. Zadaniem systemu Pebbsy jest jedynie obliczanie zapotrzebowania na zasoby ludzkie, lecz nie wykorzystuje się go do przydziału spraw, jakkolwiek system podaje dane dotyczące czasu potrzebnego dla zamknięcia określonej sprawy. Tym samym brak jest badań dotyczących obiektywnego lub konkretnego indywidualnego obciążenia pracą jednego sędziego, tym samym, jeden sędzia może mieć bardzo duże obciążenie pracą, podczas gdy jego kolega może mieć mniejsze obciążenie.</w:t>
      </w:r>
    </w:p>
    <w:p w:rsidR="00191DF0" w:rsidRPr="00316332" w:rsidRDefault="00191DF0">
      <w:pPr>
        <w:shd w:val="clear" w:color="auto" w:fill="FFFFFF"/>
        <w:spacing w:before="274" w:line="274" w:lineRule="exact"/>
        <w:ind w:left="58"/>
      </w:pPr>
      <w:r>
        <w:rPr>
          <w:sz w:val="24"/>
        </w:rPr>
        <w:t>Prezydium nie jest związane podstawowymi wielkościami liczbowymi przygotowanymi przez Pebbsy czy też wyliczeniem zapotrzebowań na zasoby dokonanymi przez program JASPER. Prezydium ma prawo mieć odmienne zdanie w stosunku do wyliczonych wielkości. Na przykład, prezydium może delegować sprawy cywilne tylko do 26 sędziów, a nie do 30, jak wyliczył program JASPER oraz przekazać sprawy karne 28 sędziom, a nie jak wyliczono 24. Do chwili obecnej, sąd okręgowy w Lipsku nie kierował się wyliczeniami z systemu Pebbsy i programu JASPER.</w:t>
      </w:r>
    </w:p>
    <w:p w:rsidR="00191DF0" w:rsidRPr="00316332" w:rsidRDefault="00191DF0">
      <w:pPr>
        <w:shd w:val="clear" w:color="auto" w:fill="FFFFFF"/>
        <w:spacing w:before="283" w:line="269" w:lineRule="exact"/>
        <w:ind w:left="67" w:right="538"/>
      </w:pPr>
      <w:r>
        <w:rPr>
          <w:b/>
          <w:sz w:val="24"/>
        </w:rPr>
        <w:t>(Załącznik nr 4 - wypis z rocznych harmonogramów dla sędziów [Geschafts-verteilungsplan])</w:t>
      </w:r>
    </w:p>
    <w:p w:rsidR="00191DF0" w:rsidRPr="00316332" w:rsidRDefault="00191DF0">
      <w:pPr>
        <w:shd w:val="clear" w:color="auto" w:fill="FFFFFF"/>
        <w:spacing w:before="278" w:line="278" w:lineRule="exact"/>
        <w:ind w:left="62"/>
      </w:pPr>
      <w:r>
        <w:rPr>
          <w:sz w:val="24"/>
        </w:rPr>
        <w:t>Istnieją ró</w:t>
      </w:r>
      <w:r>
        <w:rPr>
          <w:sz w:val="24"/>
          <w:szCs w:val="24"/>
          <w:cs/>
        </w:rPr>
        <w:t>‎</w:t>
      </w:r>
      <w:r>
        <w:rPr>
          <w:sz w:val="24"/>
        </w:rPr>
        <w:t>żne rodzaje przydziału spraw w ramach rocznych harmonogramów zadań realizowanych przez sądy. Na przyk</w:t>
      </w:r>
      <w:r>
        <w:rPr>
          <w:sz w:val="24"/>
          <w:szCs w:val="24"/>
          <w:cs/>
        </w:rPr>
        <w:t>‎</w:t>
      </w:r>
      <w:r>
        <w:rPr>
          <w:sz w:val="24"/>
        </w:rPr>
        <w:t>ład, V wydział cywilny posiada specjalne kompetencje dotyczące prawa własności intelektualnej i prawa o konkurencji. Posiadanie wydziałów mających specjalne kompetencje ma zwiększać jakość wydawanych wyroków oraz skracać czas pracy potrzebny w przypadku tej kategorii spraw dzięki doświadczeniu zdobytemu w takich sprawach.</w:t>
      </w:r>
    </w:p>
    <w:p w:rsidR="00191DF0" w:rsidRPr="00316332" w:rsidRDefault="00191DF0">
      <w:pPr>
        <w:shd w:val="clear" w:color="auto" w:fill="FFFFFF"/>
        <w:spacing w:before="278" w:line="274" w:lineRule="exact"/>
        <w:ind w:left="43"/>
      </w:pPr>
      <w:r>
        <w:rPr>
          <w:sz w:val="24"/>
        </w:rPr>
        <w:t>Innym sposobem przydziału jest stosowanie zasady rotacji. Rotacja spraw niesie ze sobą pewne braki dotyczące czasu trwania i obciążenia pracą, gdyż każdy sędzia musi zajmować się wszystkimi rodzajami spraw sądowych. Powszechnym też jest dokonywanie przydziału wykorzystując pierwsze litery nazw/nazwisk stron lub osób pozwanych lub ze względu na siedzibę.</w:t>
      </w:r>
    </w:p>
    <w:p w:rsidR="00191DF0" w:rsidRPr="00316332" w:rsidRDefault="00191DF0">
      <w:pPr>
        <w:shd w:val="clear" w:color="auto" w:fill="FFFFFF"/>
        <w:spacing w:before="274" w:line="274" w:lineRule="exact"/>
        <w:ind w:left="24"/>
      </w:pPr>
      <w:r>
        <w:rPr>
          <w:sz w:val="24"/>
        </w:rPr>
        <w:t>W ramach sądu nie prowadzi się oceny, czy dany wydział lub sędziowie są obciążeni w maksymalnym stopniu. Takie badania prowadziłyby do niezręcznych sytuacji pomiędzy kolegami, a sędziowie, którzy ciężko pracują, obawialiby się większego nakładu pracy. Niemniej jednak, sędziowie przewodniczący mogą zwrócić się do prezydium o wprowadzenie korekt do harmonogramu zadań, jeżeli sędziowie w ich zespole są przepracowani. Rozumie się samo przez się, że żaden sędzia przewodniczący nigdy nie zwróciłby się do prezydium, by przydzieliło więcej spraw.</w:t>
      </w:r>
    </w:p>
    <w:p w:rsidR="00191DF0" w:rsidRPr="00316332" w:rsidRDefault="00191DF0">
      <w:pPr>
        <w:shd w:val="clear" w:color="auto" w:fill="FFFFFF"/>
        <w:spacing w:before="278" w:line="274" w:lineRule="exact"/>
        <w:ind w:left="24"/>
      </w:pPr>
      <w:r>
        <w:rPr>
          <w:sz w:val="24"/>
        </w:rPr>
        <w:lastRenderedPageBreak/>
        <w:t>Lecz roczny harmonogram obowiązków wcale nie jest ostatnim etapem. Prezydium przydziela sprawy wydziałom lub senatom, nigdy danemu sędziemu. W ramach wydziału lub senatu albo panelu, sprawy są przydzielane poszczególnym członkom na podstawie decyzji wydanej przez wszystkich zawodowych sędziów należących do danego wydziału lub senatu (§21 g ust. 1 Ustawy o ustroju sądów).</w:t>
      </w:r>
    </w:p>
    <w:p w:rsidR="00191DF0" w:rsidRPr="00316332" w:rsidRDefault="00191DF0">
      <w:pPr>
        <w:shd w:val="clear" w:color="auto" w:fill="FFFFFF"/>
        <w:spacing w:before="269"/>
        <w:ind w:left="19"/>
      </w:pPr>
      <w:r>
        <w:rPr>
          <w:b/>
          <w:sz w:val="24"/>
        </w:rPr>
        <w:t>Kontroling</w:t>
      </w:r>
    </w:p>
    <w:p w:rsidR="00191DF0" w:rsidRPr="00316332" w:rsidRDefault="00191DF0">
      <w:pPr>
        <w:shd w:val="clear" w:color="auto" w:fill="FFFFFF"/>
        <w:spacing w:before="283" w:line="274" w:lineRule="exact"/>
      </w:pPr>
      <w:r>
        <w:rPr>
          <w:sz w:val="24"/>
        </w:rPr>
        <w:t>Sądy co rok określają zaległości dotyczące starszych postępowań i przedstawiają je Ministerstwu Sprawiedliwości Saksonii poprzez Wyższy Sąd Apelacyjny. Dane pochodzą od sędziów przewodniczących wydziałów. Badania mają trwać 5 lat.</w:t>
      </w:r>
    </w:p>
    <w:p w:rsidR="00191DF0" w:rsidRPr="00316332" w:rsidRDefault="00191DF0" w:rsidP="00ED3BC3">
      <w:pPr>
        <w:shd w:val="clear" w:color="auto" w:fill="FFFFFF"/>
        <w:spacing w:line="278" w:lineRule="exact"/>
      </w:pPr>
      <w:r>
        <w:rPr>
          <w:sz w:val="24"/>
        </w:rPr>
        <w:t>Innym instrumentem kontroli jest badanie danego sądu. Wyższy Sąd Apelacyjny bada sądy regionalne i okręgowe, którym przewodniczy prezes, sądy regionalne badają sądy okręgowe, którym przewodniczy dyrektor. Badanie sądów stanowi czynność wykonywaną w ramach nadzoru administracyjnego, która nie stanowi naruszenia zasady niezawisłości sędziów. Badanie dotyczy całego sądu, wszystkich jego obszarów i zagadnień, którymi się zajmuje. Naturalnie bada się pracę sędziów, lecz nie tylko.</w:t>
      </w:r>
    </w:p>
    <w:p w:rsidR="00191DF0" w:rsidRPr="00316332" w:rsidRDefault="00191DF0">
      <w:pPr>
        <w:shd w:val="clear" w:color="auto" w:fill="FFFFFF"/>
        <w:spacing w:before="278" w:line="274" w:lineRule="exact"/>
        <w:ind w:left="58"/>
      </w:pPr>
      <w:r>
        <w:rPr>
          <w:sz w:val="24"/>
        </w:rPr>
        <w:t>Uwaga koncentruje się na kształtowaniu obciążenia pracą, jak również na zaległościach i czasie potrzebnym dla ukończenia realizacji zadań. Kładzie się też nacisk na porównywanie obsady kadrowej z zapotrzebowaniem. Bada się przyczyny przerostu zatrudnienia i braków kadrowych. Raport z wynikami badań powstaje w celu przedstawienia rozwiązań braków i przedstawienia profesjonalnego doradztwa.</w:t>
      </w:r>
    </w:p>
    <w:p w:rsidR="00191DF0" w:rsidRPr="00316332" w:rsidRDefault="00191DF0">
      <w:pPr>
        <w:shd w:val="clear" w:color="auto" w:fill="FFFFFF"/>
        <w:spacing w:before="278"/>
        <w:ind w:left="53"/>
      </w:pPr>
      <w:r>
        <w:rPr>
          <w:b/>
          <w:sz w:val="24"/>
        </w:rPr>
        <w:t>Wykorzystanie technologii</w:t>
      </w:r>
    </w:p>
    <w:p w:rsidR="00191DF0" w:rsidRPr="00316332" w:rsidRDefault="00191DF0">
      <w:pPr>
        <w:shd w:val="clear" w:color="auto" w:fill="FFFFFF"/>
        <w:spacing w:before="274" w:line="274" w:lineRule="exact"/>
        <w:ind w:left="48"/>
      </w:pPr>
      <w:r>
        <w:rPr>
          <w:sz w:val="24"/>
        </w:rPr>
        <w:t>Sądownictwo w Saksonii stosuje technologię informatyczną wykorzystującą sieć rozległą. Sądy i organa władzy w Saksonii połączone są z „Sachsisches Verwaltungsnetz”, która jest nowoczesną infrastrukturą sieciową służącą łączności głosowej i przesyłaniu danych Administracji Landu Saksonii.</w:t>
      </w:r>
    </w:p>
    <w:p w:rsidR="00191DF0" w:rsidRPr="00316332" w:rsidRDefault="00191DF0">
      <w:pPr>
        <w:shd w:val="clear" w:color="auto" w:fill="FFFFFF"/>
        <w:spacing w:before="264"/>
        <w:ind w:left="43"/>
      </w:pPr>
      <w:r>
        <w:rPr>
          <w:sz w:val="24"/>
        </w:rPr>
        <w:t>(Załącznik nr 5 - zrzuty ekranów dla forum</w:t>
      </w:r>
      <w:r>
        <w:rPr>
          <w:sz w:val="24"/>
          <w:vertAlign w:val="superscript"/>
        </w:rPr>
        <w:t>STAR</w:t>
      </w:r>
      <w:r>
        <w:rPr>
          <w:sz w:val="24"/>
        </w:rPr>
        <w:t>)</w:t>
      </w:r>
    </w:p>
    <w:p w:rsidR="00191DF0" w:rsidRPr="00316332" w:rsidRDefault="00191DF0">
      <w:pPr>
        <w:shd w:val="clear" w:color="auto" w:fill="FFFFFF"/>
        <w:spacing w:before="278" w:line="274" w:lineRule="exact"/>
        <w:ind w:left="19"/>
      </w:pPr>
      <w:r>
        <w:rPr>
          <w:sz w:val="24"/>
        </w:rPr>
        <w:t>Osiem landów, m.in. Bawaria, Berlin i Saksonia, wspólnie z Siemens Business Services opracowały program forum</w:t>
      </w:r>
      <w:r>
        <w:rPr>
          <w:sz w:val="24"/>
          <w:vertAlign w:val="superscript"/>
        </w:rPr>
        <w:t>STAR</w:t>
      </w:r>
      <w:r>
        <w:rPr>
          <w:sz w:val="24"/>
        </w:rPr>
        <w:t xml:space="preserve"> dla (specjalistycznych) wydziałów sądowych wraz ze zintegrowanym systemem tekstowym. forum</w:t>
      </w:r>
      <w:r>
        <w:rPr>
          <w:sz w:val="24"/>
          <w:vertAlign w:val="superscript"/>
        </w:rPr>
        <w:t>STAR</w:t>
      </w:r>
      <w:r>
        <w:rPr>
          <w:sz w:val="24"/>
        </w:rPr>
        <w:t xml:space="preserve"> to nowe oprogramowanie dla sądów powszechnych zawierające maski z jednolitymi danymi do wykorzystania przez wszystkie wydziały sądów. Program może być wykorzystywany przez różne wydziały w sądach okręgowych, regionalnych i wyższych sądach regionalnych dotyczących spraw cywilnych, rodzinnych, karnych, sprawowania opieki, bezspornego dziedziczenia, egzekucji komorniczej, aukcji zajętych przedmiotów i upadłości. Ponieważ maska programu jest jednolita, dla sędziów i pracowników zmiana wydziału nie stanowi problemu, gdyż mogą nadal korzystać z tego oprogramowania.</w:t>
      </w:r>
    </w:p>
    <w:p w:rsidR="00191DF0" w:rsidRPr="00316332" w:rsidRDefault="00191DF0">
      <w:pPr>
        <w:shd w:val="clear" w:color="auto" w:fill="FFFFFF"/>
        <w:spacing w:before="274" w:line="274" w:lineRule="exact"/>
      </w:pPr>
      <w:r>
        <w:rPr>
          <w:sz w:val="24"/>
        </w:rPr>
        <w:t xml:space="preserve">Przede wszystkim, posiada on maskę danych, w której można zapisywać wszystkie istotne dla danej sprawy dane. Dane te stanowią podstawę dla podejmowanych przez sądy działań i zdarzeń, a następnie mogą być również wykorzystane do przygotowania tekstów, takich jak ustalenia przed pierwszym posiedzeniem lub w ramach postępowania wstępnego prowadzonego w formie pisemnej. Po wprowadzeniu przez sędziego odpowiednich danych, na przykład ustalenie terminu dla pozwanego, w którym musi on przedstawić odpowiedź na pozew, tekst jest </w:t>
      </w:r>
      <w:r>
        <w:rPr>
          <w:sz w:val="24"/>
        </w:rPr>
        <w:lastRenderedPageBreak/>
        <w:t>generowany automatycznie przez program forum</w:t>
      </w:r>
      <w:r>
        <w:rPr>
          <w:sz w:val="24"/>
          <w:vertAlign w:val="superscript"/>
        </w:rPr>
        <w:t>STAR</w:t>
      </w:r>
      <w:r>
        <w:rPr>
          <w:sz w:val="24"/>
        </w:rPr>
        <w:t>. Program jest wykorzystywany przez sędziów, jak również przez pracowników biurowych, na przykład do sporządzania pism dla stron i prawników.</w:t>
      </w:r>
    </w:p>
    <w:p w:rsidR="00191DF0" w:rsidRPr="00316332" w:rsidRDefault="00191DF0">
      <w:pPr>
        <w:shd w:val="clear" w:color="auto" w:fill="FFFFFF"/>
        <w:spacing w:before="254" w:line="274" w:lineRule="exact"/>
      </w:pPr>
      <w:r>
        <w:rPr>
          <w:sz w:val="24"/>
        </w:rPr>
        <w:t>Wielką zaletą programu forum</w:t>
      </w:r>
      <w:r>
        <w:rPr>
          <w:sz w:val="24"/>
          <w:vertAlign w:val="superscript"/>
        </w:rPr>
        <w:t>STAR</w:t>
      </w:r>
      <w:r>
        <w:rPr>
          <w:sz w:val="24"/>
        </w:rPr>
        <w:t xml:space="preserve"> jest to, że posiada interfejsy, które umożliwiają komunikację z innymi organami władzy za pomocą transferu danych. Obecnie jest już możliwe generowanie zlecenia płatności i przekazywanie do elektronicznie do stanowego ministerstwa skarbu, które realizuje wszystkie zadania skarbowe sądów w Saksonii. Miesięczne statystyki sądowe są generowane przez forum</w:t>
      </w:r>
      <w:r>
        <w:rPr>
          <w:sz w:val="24"/>
          <w:vertAlign w:val="superscript"/>
        </w:rPr>
        <w:t>STAR</w:t>
      </w:r>
      <w:r>
        <w:rPr>
          <w:sz w:val="24"/>
        </w:rPr>
        <w:t xml:space="preserve"> i przekazywane do Krajowego Biura Statystycznego Saksonii.</w:t>
      </w:r>
    </w:p>
    <w:p w:rsidR="00191DF0" w:rsidRPr="00316332" w:rsidRDefault="00191DF0">
      <w:pPr>
        <w:shd w:val="clear" w:color="auto" w:fill="FFFFFF"/>
        <w:spacing w:line="274" w:lineRule="exact"/>
        <w:ind w:left="19" w:right="62"/>
        <w:jc w:val="both"/>
      </w:pPr>
      <w:r>
        <w:rPr>
          <w:sz w:val="26"/>
        </w:rPr>
        <w:t>Inne typowe dane przekazywane pomiędzy sądami, organami władzy, prawnikami, notariuszami i innymi instytucjami zostaną wkrótce zintegrowane w programie forum</w:t>
      </w:r>
      <w:r>
        <w:rPr>
          <w:sz w:val="26"/>
          <w:vertAlign w:val="superscript"/>
        </w:rPr>
        <w:t>STAR</w:t>
      </w:r>
      <w:r>
        <w:rPr>
          <w:sz w:val="26"/>
        </w:rPr>
        <w:t>, na przykład, transfer rejestrów wraz sądów gospodarczych lub urzędów prokuratorskich do wydziałów karnych sądów.</w:t>
      </w:r>
    </w:p>
    <w:p w:rsidR="00191DF0" w:rsidRPr="00316332" w:rsidRDefault="00191DF0">
      <w:pPr>
        <w:shd w:val="clear" w:color="auto" w:fill="FFFFFF"/>
        <w:spacing w:before="274" w:line="274" w:lineRule="exact"/>
        <w:ind w:left="10"/>
      </w:pPr>
      <w:r>
        <w:rPr>
          <w:sz w:val="26"/>
        </w:rPr>
        <w:t>Należy wspomnieć, że sądy pracy, sądy zajmujące się sprawami społecznymi, finansowymi i sądy administracyjne w Saksonii stosują inne oprogramowanie (EUREKA), a urzędy prokuratorskie wykorzystują oprogramowanie web.sta. Żadne z nich nie jest kompatybilne z forum</w:t>
      </w:r>
      <w:r>
        <w:rPr>
          <w:sz w:val="26"/>
          <w:vertAlign w:val="superscript"/>
        </w:rPr>
        <w:t>STAR</w:t>
      </w:r>
      <w:r>
        <w:rPr>
          <w:sz w:val="26"/>
        </w:rPr>
        <w:t>. W celu uniknięcia braku ciągłości stosowania różnych mediów, konieczne jest stworzenie interfesjów lub, lepiej, zbudowanie platformy komunikacyjnej.</w:t>
      </w:r>
    </w:p>
    <w:p w:rsidR="00191DF0" w:rsidRPr="00316332" w:rsidRDefault="00191DF0">
      <w:pPr>
        <w:shd w:val="clear" w:color="auto" w:fill="FFFFFF"/>
        <w:spacing w:before="278" w:line="278" w:lineRule="exact"/>
        <w:ind w:right="466"/>
        <w:jc w:val="both"/>
      </w:pPr>
      <w:r>
        <w:rPr>
          <w:sz w:val="26"/>
        </w:rPr>
        <w:t>Dzięki elektronicznym skrzynkom pocztowym wykorzystywanym w sądach i administracji, stworzono podstawy dla elektronicznej komunikacji prawnej. Celem jest zapewnienie, by całość komunikacji prawnej odbywała się wyłącznie w formie elektronicznej bez braku ciągłości stosowania różnych mediów, poprzez tworzenie plików elektronicznych.</w:t>
      </w:r>
    </w:p>
    <w:p w:rsidR="00191DF0" w:rsidRPr="00316332" w:rsidRDefault="00191DF0">
      <w:pPr>
        <w:shd w:val="clear" w:color="auto" w:fill="FFFFFF"/>
        <w:spacing w:before="821" w:line="278" w:lineRule="exact"/>
        <w:ind w:left="5" w:right="6451"/>
      </w:pPr>
      <w:r>
        <w:rPr>
          <w:sz w:val="26"/>
        </w:rPr>
        <w:t>Kai Deusing Regionalny Sąd Lipsk V Wydział</w:t>
      </w:r>
    </w:p>
    <w:sectPr w:rsidR="00191DF0" w:rsidRPr="00316332" w:rsidSect="0034715B">
      <w:pgSz w:w="11909" w:h="16834" w:orient="landscape"/>
      <w:pgMar w:top="1440" w:right="1373" w:bottom="720" w:left="1470"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DF0" w:rsidRDefault="00191DF0" w:rsidP="00316332">
      <w:r>
        <w:separator/>
      </w:r>
    </w:p>
  </w:endnote>
  <w:endnote w:type="continuationSeparator" w:id="0">
    <w:p w:rsidR="00191DF0" w:rsidRDefault="00191DF0" w:rsidP="00316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DF0" w:rsidRDefault="00191DF0" w:rsidP="00316332">
      <w:r>
        <w:separator/>
      </w:r>
    </w:p>
  </w:footnote>
  <w:footnote w:type="continuationSeparator" w:id="0">
    <w:p w:rsidR="00191DF0" w:rsidRDefault="00191DF0" w:rsidP="00316332">
      <w:r>
        <w:continuationSeparator/>
      </w:r>
    </w:p>
  </w:footnote>
  <w:footnote w:id="1">
    <w:p w:rsidR="00191DF0" w:rsidRDefault="00191DF0" w:rsidP="00316332">
      <w:pPr>
        <w:shd w:val="clear" w:color="auto" w:fill="FFFFFF"/>
        <w:spacing w:before="643"/>
        <w:ind w:left="34"/>
      </w:pPr>
      <w:r>
        <w:rPr>
          <w:rStyle w:val="Odwoanieprzypisudolnego"/>
          <w:rFonts w:cs="Arial"/>
        </w:rPr>
        <w:footnoteRef/>
      </w:r>
      <w:r>
        <w:t xml:space="preserve"> </w:t>
      </w:r>
      <w:r w:rsidRPr="00B15A55">
        <w:rPr>
          <w:spacing w:val="-5"/>
        </w:rPr>
        <w:t>§</w:t>
      </w:r>
      <w:r>
        <w:rPr>
          <w:spacing w:val="-5"/>
        </w:rPr>
        <w:t>21</w:t>
      </w:r>
    </w:p>
    <w:p w:rsidR="00191DF0" w:rsidRDefault="00191DF0" w:rsidP="00316332">
      <w:pPr>
        <w:shd w:val="clear" w:color="auto" w:fill="FFFFFF"/>
        <w:spacing w:before="293" w:line="230" w:lineRule="exact"/>
      </w:pPr>
      <w:r>
        <w:rPr>
          <w:spacing w:val="-1"/>
        </w:rPr>
        <w:t xml:space="preserve">(1) Prezydium ustala skład składów orzekających, wyznacza sędziów sprawozdawczych, reguluje sposób reprezentacji i przydziela zadania do realizacji przez sąd. Dokonuje ono tych ustaleń na cały rok działalności sądu przed jego rozpoczęciem. Prezes ustali, jakie obowiązki sądownicze </w:t>
      </w:r>
      <w:r>
        <w:t>będzie on realizować. Każdy sędzia może należeć do wielu składów orzekających.</w:t>
      </w:r>
    </w:p>
    <w:p w:rsidR="00191DF0" w:rsidRDefault="00191DF0" w:rsidP="00316332">
      <w:pPr>
        <w:shd w:val="clear" w:color="auto" w:fill="FFFFFF"/>
        <w:spacing w:before="278" w:line="226" w:lineRule="exact"/>
      </w:pPr>
      <w:r>
        <w:t xml:space="preserve">(3) Ustalenia dokonane zgodnie z ust. (1) mogą zostać zmienione tylko w ciągu roku </w:t>
      </w:r>
      <w:r>
        <w:rPr>
          <w:spacing w:val="-1"/>
        </w:rPr>
        <w:t xml:space="preserve">działalności, jeżeli jest to konieczne ze względu na nadmierne lub niewystarczające obciążenia pracą danego sędziego lub składu </w:t>
      </w:r>
      <w:r>
        <w:t>orzekającego lub w wyniku przeniesienia albo przedłużającej się nieobecności poszczególnych sędziów. Sędziowie przewodniczący składów orzekających, których dotyczy zmiana w przydziale zadań do realizacji przez sąd będą mieć możliwość przedstawienia swoich opinii przed dokonaniem takiej zmiany.</w:t>
      </w:r>
    </w:p>
    <w:p w:rsidR="00191DF0" w:rsidRDefault="00191DF0" w:rsidP="00316332">
      <w:pPr>
        <w:shd w:val="clear" w:color="auto" w:fill="FFFFFF"/>
        <w:spacing w:before="278" w:line="226" w:lineRule="exac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FC6"/>
    <w:rsid w:val="000757B1"/>
    <w:rsid w:val="00191DF0"/>
    <w:rsid w:val="00313828"/>
    <w:rsid w:val="00316332"/>
    <w:rsid w:val="0034715B"/>
    <w:rsid w:val="00381C4E"/>
    <w:rsid w:val="003E6C1A"/>
    <w:rsid w:val="00402FC6"/>
    <w:rsid w:val="004D4D34"/>
    <w:rsid w:val="004E62B9"/>
    <w:rsid w:val="0052264E"/>
    <w:rsid w:val="005C02D4"/>
    <w:rsid w:val="005F3A20"/>
    <w:rsid w:val="00737412"/>
    <w:rsid w:val="00783297"/>
    <w:rsid w:val="009A5F74"/>
    <w:rsid w:val="00A40D7B"/>
    <w:rsid w:val="00A514C7"/>
    <w:rsid w:val="00B15A55"/>
    <w:rsid w:val="00C27A12"/>
    <w:rsid w:val="00C82859"/>
    <w:rsid w:val="00D13C53"/>
    <w:rsid w:val="00ED3BC3"/>
    <w:rsid w:val="00F51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57B1"/>
    <w:pPr>
      <w:widowControl w:val="0"/>
      <w:autoSpaceDE w:val="0"/>
      <w:autoSpaceDN w:val="0"/>
      <w:adjustRightInd w:val="0"/>
    </w:pPr>
    <w:rPr>
      <w:rFonts w:ascii="Arial" w:hAnsi="Arial" w:cs="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rsid w:val="00316332"/>
  </w:style>
  <w:style w:type="character" w:customStyle="1" w:styleId="TekstprzypisudolnegoZnak">
    <w:name w:val="Tekst przypisu dolnego Znak"/>
    <w:basedOn w:val="Domylnaczcionkaakapitu"/>
    <w:link w:val="Tekstprzypisudolnego"/>
    <w:uiPriority w:val="99"/>
    <w:semiHidden/>
    <w:locked/>
    <w:rsid w:val="00316332"/>
    <w:rPr>
      <w:rFonts w:ascii="Arial" w:hAnsi="Arial" w:cs="Arial"/>
      <w:sz w:val="20"/>
      <w:szCs w:val="20"/>
    </w:rPr>
  </w:style>
  <w:style w:type="character" w:styleId="Odwoanieprzypisudolnego">
    <w:name w:val="footnote reference"/>
    <w:basedOn w:val="Domylnaczcionkaakapitu"/>
    <w:uiPriority w:val="99"/>
    <w:semiHidden/>
    <w:rsid w:val="00316332"/>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57B1"/>
    <w:pPr>
      <w:widowControl w:val="0"/>
      <w:autoSpaceDE w:val="0"/>
      <w:autoSpaceDN w:val="0"/>
      <w:adjustRightInd w:val="0"/>
    </w:pPr>
    <w:rPr>
      <w:rFonts w:ascii="Arial" w:hAnsi="Arial" w:cs="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rsid w:val="00316332"/>
  </w:style>
  <w:style w:type="character" w:customStyle="1" w:styleId="TekstprzypisudolnegoZnak">
    <w:name w:val="Tekst przypisu dolnego Znak"/>
    <w:basedOn w:val="Domylnaczcionkaakapitu"/>
    <w:link w:val="Tekstprzypisudolnego"/>
    <w:uiPriority w:val="99"/>
    <w:semiHidden/>
    <w:locked/>
    <w:rsid w:val="00316332"/>
    <w:rPr>
      <w:rFonts w:ascii="Arial" w:hAnsi="Arial" w:cs="Arial"/>
      <w:sz w:val="20"/>
      <w:szCs w:val="20"/>
    </w:rPr>
  </w:style>
  <w:style w:type="character" w:styleId="Odwoanieprzypisudolnego">
    <w:name w:val="footnote reference"/>
    <w:basedOn w:val="Domylnaczcionkaakapitu"/>
    <w:uiPriority w:val="99"/>
    <w:semiHidden/>
    <w:rsid w:val="0031633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1898</Words>
  <Characters>11393</Characters>
  <Application>Microsoft Office Word</Application>
  <DocSecurity>0</DocSecurity>
  <Lines>94</Lines>
  <Paragraphs>26</Paragraphs>
  <ScaleCrop>false</ScaleCrop>
  <Company/>
  <LinksUpToDate>false</LinksUpToDate>
  <CharactersWithSpaces>13265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2012-12-10T14:00:00Z</dcterms:created>
  <dcterms:modified xsi:type="dcterms:W3CDTF">2012-12-10T14:00:00Z</dcterms:modified>
</cp:coreProperties>
</file>