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D8290B">
        <w:rPr>
          <w:rFonts w:ascii="Bookman Old Style" w:hAnsi="Bookman Old Style"/>
        </w:rPr>
        <w:t>159.10</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D8290B">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277D32">
        <w:rPr>
          <w:rFonts w:ascii="Bookman Old Style" w:hAnsi="Bookman Old Style"/>
        </w:rPr>
        <w:t>7</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D8290B">
        <w:rPr>
          <w:rFonts w:ascii="Bookman Old Style" w:hAnsi="Bookman Old Style"/>
        </w:rPr>
        <w:t>/I</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CD53E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D8290B"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szczecińskiej</w:t>
      </w:r>
    </w:p>
    <w:p w:rsidR="000A78A4" w:rsidRPr="009406B1" w:rsidRDefault="00915DBD"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15DB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15DB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915DB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15DB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8290B" w:rsidRDefault="00D8290B" w:rsidP="00D8290B">
      <w:pPr>
        <w:spacing w:line="276" w:lineRule="auto"/>
        <w:ind w:left="3540" w:hanging="3540"/>
        <w:rPr>
          <w:rFonts w:ascii="Bookman Old Style" w:hAnsi="Bookman Old Style"/>
          <w:b/>
        </w:rPr>
      </w:pPr>
      <w:r>
        <w:rPr>
          <w:rFonts w:ascii="Bookman Old Style" w:hAnsi="Bookman Old Style"/>
        </w:rPr>
        <w:t>27</w:t>
      </w:r>
      <w:r w:rsidR="00836000">
        <w:rPr>
          <w:rFonts w:ascii="Bookman Old Style" w:hAnsi="Bookman Old Style"/>
        </w:rPr>
        <w:t xml:space="preserve"> marca</w:t>
      </w:r>
      <w:r w:rsidR="000A78A4" w:rsidRPr="007D03E0">
        <w:rPr>
          <w:rFonts w:ascii="Bookman Old Style" w:hAnsi="Bookman Old Style"/>
        </w:rPr>
        <w:t xml:space="preserve"> 201</w:t>
      </w:r>
      <w:r w:rsidR="00E1353C">
        <w:rPr>
          <w:rFonts w:ascii="Bookman Old Style" w:hAnsi="Bookman Old Style"/>
        </w:rPr>
        <w:t>8</w:t>
      </w:r>
      <w:r w:rsidR="00277D32">
        <w:rPr>
          <w:rFonts w:ascii="Bookman Old Style" w:hAnsi="Bookman Old Style"/>
        </w:rPr>
        <w:t xml:space="preserve"> r.</w:t>
      </w:r>
      <w:r w:rsidR="00277D32">
        <w:rPr>
          <w:rFonts w:ascii="Bookman Old Style" w:hAnsi="Bookman Old Style"/>
        </w:rPr>
        <w:tab/>
      </w:r>
      <w:r w:rsidRPr="00D8290B">
        <w:rPr>
          <w:rFonts w:ascii="Bookman Old Style" w:hAnsi="Bookman Old Style"/>
          <w:b/>
        </w:rPr>
        <w:t xml:space="preserve">Sąd Apelacyjny w Szczecinie, </w:t>
      </w:r>
    </w:p>
    <w:p w:rsidR="00D8290B" w:rsidRDefault="00D8290B" w:rsidP="00D8290B">
      <w:pPr>
        <w:spacing w:line="276" w:lineRule="auto"/>
        <w:ind w:left="3540"/>
        <w:rPr>
          <w:rFonts w:ascii="Bookman Old Style" w:hAnsi="Bookman Old Style"/>
          <w:b/>
        </w:rPr>
      </w:pPr>
      <w:bookmarkStart w:id="0" w:name="_GoBack"/>
      <w:bookmarkEnd w:id="0"/>
      <w:r w:rsidRPr="00D8290B">
        <w:rPr>
          <w:rFonts w:ascii="Bookman Old Style" w:hAnsi="Bookman Old Style"/>
          <w:b/>
        </w:rPr>
        <w:t xml:space="preserve">ul. Mickiewicza 163, </w:t>
      </w:r>
    </w:p>
    <w:p w:rsidR="00D8290B" w:rsidRDefault="00D8290B" w:rsidP="00D8290B">
      <w:pPr>
        <w:spacing w:line="276" w:lineRule="auto"/>
        <w:ind w:left="3540"/>
        <w:rPr>
          <w:rFonts w:ascii="Bookman Old Style" w:hAnsi="Bookman Old Style"/>
        </w:rPr>
      </w:pPr>
      <w:r w:rsidRPr="00D8290B">
        <w:rPr>
          <w:rFonts w:ascii="Bookman Old Style" w:hAnsi="Bookman Old Style"/>
          <w:b/>
        </w:rPr>
        <w:t>71-165 Szczecin</w:t>
      </w:r>
    </w:p>
    <w:p w:rsidR="00D8290B" w:rsidRPr="00836000" w:rsidRDefault="00D8290B" w:rsidP="00836000">
      <w:pPr>
        <w:spacing w:line="276" w:lineRule="auto"/>
        <w:ind w:left="2832" w:firstLine="708"/>
        <w:rPr>
          <w:rFonts w:ascii="Bookman Old Style" w:hAnsi="Bookman Old Style"/>
        </w:rPr>
      </w:pPr>
    </w:p>
    <w:p w:rsidR="000A78A4" w:rsidRPr="009406B1" w:rsidRDefault="00915DBD" w:rsidP="00836000">
      <w:pPr>
        <w:spacing w:line="276" w:lineRule="auto"/>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15DBD"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915DBD"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15DBD"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CD53E1"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CD53E1"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CD53E1"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836000"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D8290B">
        <w:rPr>
          <w:rFonts w:ascii="Bookman Old Style" w:hAnsi="Bookman Old Style"/>
          <w:b/>
        </w:rPr>
        <w:t>27</w:t>
      </w:r>
      <w:r>
        <w:rPr>
          <w:rFonts w:ascii="Bookman Old Style" w:hAnsi="Bookman Old Style"/>
          <w:b/>
        </w:rPr>
        <w:t xml:space="preserve"> marca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CD53E1"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915DBD"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BD" w:rsidRDefault="00915DBD" w:rsidP="00E31115">
      <w:r>
        <w:separator/>
      </w:r>
    </w:p>
  </w:endnote>
  <w:endnote w:type="continuationSeparator" w:id="0">
    <w:p w:rsidR="00915DBD" w:rsidRDefault="00915DB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BD" w:rsidRDefault="00915DBD" w:rsidP="00E31115">
      <w:r>
        <w:separator/>
      </w:r>
    </w:p>
  </w:footnote>
  <w:footnote w:type="continuationSeparator" w:id="0">
    <w:p w:rsidR="00915DBD" w:rsidRDefault="00915DB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4749"/>
    <w:rsid w:val="004E6DB0"/>
    <w:rsid w:val="00501225"/>
    <w:rsid w:val="005113E9"/>
    <w:rsid w:val="00537384"/>
    <w:rsid w:val="00556117"/>
    <w:rsid w:val="00561B54"/>
    <w:rsid w:val="0057321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30B32"/>
    <w:rsid w:val="00836000"/>
    <w:rsid w:val="00842F67"/>
    <w:rsid w:val="00864626"/>
    <w:rsid w:val="008D62E1"/>
    <w:rsid w:val="008F1FC2"/>
    <w:rsid w:val="00915DBD"/>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71092"/>
    <w:rsid w:val="00BA15E8"/>
    <w:rsid w:val="00BB39D0"/>
    <w:rsid w:val="00BF04C5"/>
    <w:rsid w:val="00C42BA9"/>
    <w:rsid w:val="00C60762"/>
    <w:rsid w:val="00C94186"/>
    <w:rsid w:val="00CC5E18"/>
    <w:rsid w:val="00CD468D"/>
    <w:rsid w:val="00CD53E1"/>
    <w:rsid w:val="00D8290B"/>
    <w:rsid w:val="00D82D32"/>
    <w:rsid w:val="00D91331"/>
    <w:rsid w:val="00DA3258"/>
    <w:rsid w:val="00DB25D4"/>
    <w:rsid w:val="00DD3532"/>
    <w:rsid w:val="00DE10D2"/>
    <w:rsid w:val="00E1353C"/>
    <w:rsid w:val="00E24761"/>
    <w:rsid w:val="00E308FB"/>
    <w:rsid w:val="00E31115"/>
    <w:rsid w:val="00E331C4"/>
    <w:rsid w:val="00E63200"/>
    <w:rsid w:val="00E93B83"/>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EA69-7AEB-4B86-A78B-B208D9CD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3442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2017-11-30T13:26:00Z</cp:lastPrinted>
  <dcterms:created xsi:type="dcterms:W3CDTF">2018-02-07T12:21:00Z</dcterms:created>
  <dcterms:modified xsi:type="dcterms:W3CDTF">2018-02-07T12:25:00Z</dcterms:modified>
</cp:coreProperties>
</file>