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2F" w:rsidRDefault="0057792F" w:rsidP="0057792F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34147E1C" wp14:editId="1136B8B0">
            <wp:extent cx="6036192" cy="34607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37" t="14980" r="20951" b="24971"/>
                    <a:stretch/>
                  </pic:blipFill>
                  <pic:spPr bwMode="auto">
                    <a:xfrm>
                      <a:off x="0" y="0"/>
                      <a:ext cx="6043877" cy="346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792F" w:rsidRPr="004C345A" w:rsidRDefault="0057792F" w:rsidP="005779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4C345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Widok portalu rejestracyjnego </w:t>
      </w:r>
      <w:hyperlink r:id="rId5" w:history="1">
        <w:r w:rsidRPr="004C345A">
          <w:rPr>
            <w:rStyle w:val="Hipercze"/>
            <w:rFonts w:ascii="Tahoma" w:eastAsia="Times New Roman" w:hAnsi="Tahoma" w:cs="Tahoma"/>
            <w:bCs/>
            <w:sz w:val="20"/>
            <w:szCs w:val="20"/>
            <w:lang w:eastAsia="pl-PL"/>
          </w:rPr>
          <w:t>https://exp-platform.ejtn.eu/</w:t>
        </w:r>
      </w:hyperlink>
      <w:r w:rsidRPr="004C345A">
        <w:rPr>
          <w:rFonts w:ascii="Tahoma" w:eastAsia="Times New Roman" w:hAnsi="Tahoma" w:cs="Tahoma"/>
          <w:bCs/>
          <w:color w:val="222222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pl-PL"/>
        </w:rPr>
        <w:br/>
      </w:r>
      <w:r w:rsidRPr="004C345A">
        <w:rPr>
          <w:rFonts w:ascii="Tahoma" w:eastAsia="Times New Roman" w:hAnsi="Tahoma" w:cs="Tahoma"/>
          <w:bCs/>
          <w:color w:val="222222"/>
          <w:sz w:val="20"/>
          <w:szCs w:val="20"/>
          <w:lang w:eastAsia="pl-PL"/>
        </w:rPr>
        <w:t>do rejestracji wniosków na wymiany bilateralne.</w:t>
      </w:r>
    </w:p>
    <w:p w:rsidR="002729BB" w:rsidRPr="0057792F" w:rsidRDefault="002729BB" w:rsidP="0057792F">
      <w:pPr>
        <w:jc w:val="center"/>
      </w:pPr>
    </w:p>
    <w:sectPr w:rsidR="002729BB" w:rsidRPr="0057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F"/>
    <w:rsid w:val="002729BB"/>
    <w:rsid w:val="005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892A"/>
  <w15:chartTrackingRefBased/>
  <w15:docId w15:val="{2D045432-9C24-443C-97C6-F8B2372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-platform.ejtn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2022-09-16T13:15:00Z</dcterms:created>
  <dcterms:modified xsi:type="dcterms:W3CDTF">2022-09-16T13:16:00Z</dcterms:modified>
</cp:coreProperties>
</file>