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0D" w:rsidRPr="00D2460D" w:rsidRDefault="00D2460D" w:rsidP="00D2460D">
      <w:pPr>
        <w:spacing w:before="120" w:after="120"/>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OAP-II.420.20</w:t>
      </w:r>
      <w:r w:rsidRPr="00D2460D">
        <w:rPr>
          <w:rFonts w:ascii="Times New Roman" w:eastAsia="Times New Roman" w:hAnsi="Times New Roman" w:cs="Times New Roman"/>
          <w:sz w:val="24"/>
          <w:szCs w:val="24"/>
          <w:lang w:eastAsia="pl-PL"/>
        </w:rPr>
        <w:t>.2018</w:t>
      </w:r>
      <w:r w:rsidRPr="00D2460D">
        <w:rPr>
          <w:rFonts w:ascii="Times New Roman" w:eastAsia="Times New Roman" w:hAnsi="Times New Roman" w:cs="Times New Roman"/>
          <w:sz w:val="24"/>
          <w:szCs w:val="24"/>
          <w:lang w:eastAsia="pl-PL"/>
        </w:rPr>
        <w:tab/>
      </w:r>
      <w:r w:rsidRPr="00D2460D">
        <w:rPr>
          <w:rFonts w:ascii="Times New Roman" w:eastAsia="Calibri" w:hAnsi="Times New Roman" w:cs="Times New Roman"/>
          <w:sz w:val="24"/>
          <w:szCs w:val="24"/>
        </w:rPr>
        <w:tab/>
      </w:r>
      <w:r w:rsidRPr="00D2460D">
        <w:rPr>
          <w:rFonts w:ascii="Times New Roman" w:eastAsia="Calibri" w:hAnsi="Times New Roman" w:cs="Times New Roman"/>
          <w:sz w:val="24"/>
          <w:szCs w:val="24"/>
        </w:rPr>
        <w:tab/>
      </w:r>
      <w:r w:rsidRPr="00D2460D">
        <w:rPr>
          <w:rFonts w:ascii="Times New Roman" w:eastAsia="Calibri" w:hAnsi="Times New Roman" w:cs="Times New Roman"/>
          <w:sz w:val="24"/>
          <w:szCs w:val="24"/>
        </w:rPr>
        <w:tab/>
      </w:r>
      <w:r w:rsidRPr="00D2460D">
        <w:rPr>
          <w:rFonts w:ascii="Times New Roman" w:eastAsia="Calibri" w:hAnsi="Times New Roman" w:cs="Times New Roman"/>
          <w:sz w:val="24"/>
          <w:szCs w:val="24"/>
        </w:rPr>
        <w:tab/>
        <w:t xml:space="preserve">             Kraków, dnia </w:t>
      </w:r>
      <w:r>
        <w:rPr>
          <w:rFonts w:ascii="Times New Roman" w:eastAsia="Calibri" w:hAnsi="Times New Roman" w:cs="Times New Roman"/>
          <w:sz w:val="24"/>
          <w:szCs w:val="24"/>
        </w:rPr>
        <w:t>5 lipca</w:t>
      </w:r>
      <w:r w:rsidRPr="00D2460D">
        <w:rPr>
          <w:rFonts w:ascii="Times New Roman" w:eastAsia="Calibri" w:hAnsi="Times New Roman" w:cs="Times New Roman"/>
          <w:sz w:val="24"/>
          <w:szCs w:val="24"/>
        </w:rPr>
        <w:t xml:space="preserve"> 2018 r.</w:t>
      </w:r>
    </w:p>
    <w:p w:rsidR="00D2460D" w:rsidRPr="00D2460D" w:rsidRDefault="00D2460D" w:rsidP="00D2460D">
      <w:pPr>
        <w:spacing w:before="480" w:after="480"/>
        <w:ind w:left="3969"/>
        <w:rPr>
          <w:rFonts w:ascii="Times New Roman" w:eastAsia="Calibri" w:hAnsi="Times New Roman" w:cs="Times New Roman"/>
          <w:b/>
          <w:sz w:val="24"/>
          <w:szCs w:val="24"/>
        </w:rPr>
      </w:pPr>
      <w:r w:rsidRPr="00D2460D">
        <w:rPr>
          <w:rFonts w:ascii="Times New Roman" w:eastAsia="Calibri" w:hAnsi="Times New Roman" w:cs="Times New Roman"/>
          <w:b/>
          <w:sz w:val="24"/>
          <w:szCs w:val="24"/>
        </w:rPr>
        <w:t>Patroni Koordynatorzy</w:t>
      </w:r>
      <w:r w:rsidRPr="00D2460D">
        <w:rPr>
          <w:rFonts w:ascii="Times New Roman" w:eastAsia="Calibri" w:hAnsi="Times New Roman" w:cs="Times New Roman"/>
          <w:b/>
          <w:sz w:val="24"/>
          <w:szCs w:val="24"/>
        </w:rPr>
        <w:br/>
        <w:t>oraz Patroni praktyk</w:t>
      </w:r>
      <w:r w:rsidRPr="00D2460D">
        <w:rPr>
          <w:rFonts w:ascii="Times New Roman" w:eastAsia="Calibri" w:hAnsi="Times New Roman" w:cs="Times New Roman"/>
          <w:b/>
          <w:sz w:val="24"/>
          <w:szCs w:val="24"/>
        </w:rPr>
        <w:br/>
        <w:t>aplikantów aplikacji prokuratorskiej</w:t>
      </w:r>
    </w:p>
    <w:p w:rsidR="00D2460D" w:rsidRPr="00D2460D" w:rsidRDefault="00D2460D" w:rsidP="00D2460D">
      <w:pPr>
        <w:spacing w:after="0" w:line="240" w:lineRule="auto"/>
        <w:rPr>
          <w:rFonts w:ascii="Times New Roman" w:eastAsia="Calibri" w:hAnsi="Times New Roman" w:cs="Times New Roman"/>
          <w:b/>
          <w:i/>
          <w:sz w:val="24"/>
          <w:szCs w:val="24"/>
        </w:rPr>
      </w:pPr>
      <w:r w:rsidRPr="00D2460D">
        <w:rPr>
          <w:rFonts w:ascii="Times New Roman" w:eastAsia="Calibri" w:hAnsi="Times New Roman" w:cs="Times New Roman"/>
          <w:b/>
          <w:i/>
          <w:sz w:val="24"/>
          <w:szCs w:val="24"/>
        </w:rPr>
        <w:t>Dotyczy: praktyk IX rocznika aplikacji prokuratorskiej po V</w:t>
      </w:r>
      <w:r>
        <w:rPr>
          <w:rFonts w:ascii="Times New Roman" w:eastAsia="Calibri" w:hAnsi="Times New Roman" w:cs="Times New Roman"/>
          <w:b/>
          <w:i/>
          <w:sz w:val="24"/>
          <w:szCs w:val="24"/>
        </w:rPr>
        <w:t>I</w:t>
      </w:r>
      <w:r w:rsidRPr="00D2460D">
        <w:rPr>
          <w:rFonts w:ascii="Times New Roman" w:eastAsia="Calibri" w:hAnsi="Times New Roman" w:cs="Times New Roman"/>
          <w:b/>
          <w:i/>
          <w:sz w:val="24"/>
          <w:szCs w:val="24"/>
        </w:rPr>
        <w:t xml:space="preserve"> zjeździe</w:t>
      </w:r>
    </w:p>
    <w:p w:rsidR="00D2460D" w:rsidRPr="00D2460D" w:rsidRDefault="00D2460D" w:rsidP="00D2460D">
      <w:pPr>
        <w:spacing w:after="0" w:line="240" w:lineRule="auto"/>
        <w:rPr>
          <w:rFonts w:ascii="Times New Roman" w:eastAsia="Calibri" w:hAnsi="Times New Roman" w:cs="Times New Roman"/>
          <w:i/>
          <w:sz w:val="24"/>
          <w:szCs w:val="24"/>
        </w:rPr>
      </w:pPr>
    </w:p>
    <w:p w:rsidR="00D2460D" w:rsidRPr="00D2460D" w:rsidRDefault="00D2460D" w:rsidP="00D2460D">
      <w:pPr>
        <w:spacing w:after="0" w:line="240" w:lineRule="auto"/>
        <w:ind w:firstLine="708"/>
        <w:jc w:val="both"/>
        <w:rPr>
          <w:rFonts w:ascii="Times New Roman" w:eastAsia="Calibri" w:hAnsi="Times New Roman" w:cs="Times New Roman"/>
          <w:sz w:val="24"/>
          <w:szCs w:val="24"/>
        </w:rPr>
      </w:pPr>
      <w:r w:rsidRPr="00D2460D">
        <w:rPr>
          <w:rFonts w:ascii="Times New Roman" w:eastAsia="Calibri" w:hAnsi="Times New Roman" w:cs="Times New Roman"/>
          <w:sz w:val="24"/>
          <w:szCs w:val="24"/>
        </w:rPr>
        <w:t xml:space="preserve">Na podstawie § 5 zarządzenia Dyrektora Krajowej Szkoły Sądownictwa i Prokuratury </w:t>
      </w:r>
      <w:r w:rsidRPr="00D2460D">
        <w:rPr>
          <w:rFonts w:ascii="Times New Roman" w:eastAsia="Calibri" w:hAnsi="Times New Roman" w:cs="Times New Roman"/>
          <w:sz w:val="24"/>
          <w:szCs w:val="24"/>
        </w:rPr>
        <w:br/>
        <w:t xml:space="preserve">w Krakowie Nr 131/2010 z dnia 19 listopada 2010 roku w sprawie szczegółowych zasad odbywania praktyki przez aplikantów aplikacji sędziowskiej, prokuratorskiej oraz ogólnej (tekst ujednolicony), uprzejmie przedstawiam szczegółowy zakres tematyczny, który winien być przedmiotem praktyk aplikantów aplikacji prokuratorskiej odbywanych od </w:t>
      </w:r>
      <w:r>
        <w:rPr>
          <w:rFonts w:ascii="Times New Roman" w:eastAsia="Calibri" w:hAnsi="Times New Roman" w:cs="Times New Roman"/>
          <w:sz w:val="24"/>
          <w:szCs w:val="24"/>
        </w:rPr>
        <w:t>17 września</w:t>
      </w:r>
      <w:r w:rsidRPr="00D2460D">
        <w:rPr>
          <w:rFonts w:ascii="Times New Roman" w:eastAsia="Calibri" w:hAnsi="Times New Roman" w:cs="Times New Roman"/>
          <w:sz w:val="24"/>
          <w:szCs w:val="24"/>
        </w:rPr>
        <w:t xml:space="preserve"> do </w:t>
      </w:r>
      <w:r>
        <w:rPr>
          <w:rFonts w:ascii="Times New Roman" w:eastAsia="Calibri" w:hAnsi="Times New Roman" w:cs="Times New Roman"/>
          <w:sz w:val="24"/>
          <w:szCs w:val="24"/>
        </w:rPr>
        <w:t>5 października</w:t>
      </w:r>
      <w:r w:rsidRPr="00D2460D">
        <w:rPr>
          <w:rFonts w:ascii="Times New Roman" w:eastAsia="Calibri" w:hAnsi="Times New Roman" w:cs="Times New Roman"/>
          <w:sz w:val="24"/>
          <w:szCs w:val="24"/>
        </w:rPr>
        <w:t xml:space="preserve"> 2018 roku w prokuraturach rejonowych. </w:t>
      </w:r>
    </w:p>
    <w:p w:rsidR="00D2460D" w:rsidRPr="00D2460D" w:rsidRDefault="00D2460D" w:rsidP="00D2460D">
      <w:pPr>
        <w:spacing w:after="0" w:line="240" w:lineRule="auto"/>
        <w:ind w:firstLine="708"/>
        <w:jc w:val="both"/>
        <w:rPr>
          <w:rFonts w:ascii="Times New Roman" w:eastAsia="Calibri" w:hAnsi="Times New Roman" w:cs="Times New Roman"/>
          <w:sz w:val="24"/>
          <w:szCs w:val="24"/>
        </w:rPr>
      </w:pPr>
      <w:r w:rsidRPr="00D2460D">
        <w:rPr>
          <w:rFonts w:ascii="Times New Roman" w:eastAsia="Calibri" w:hAnsi="Times New Roman" w:cs="Times New Roman"/>
          <w:sz w:val="24"/>
          <w:szCs w:val="24"/>
        </w:rPr>
        <w:t xml:space="preserve">Zasadniczym celem praktyk jest zaznajomienie aplikantów z czynnościami i metodyką pracy patrona oraz doskonalenie umiejętności wykorzystania wiedzy teoretycznej i znajomości orzecznictwa. Każdorazowo praktyka winna utrwalić wiedzę zdobytą podczas bezpośrednio poprzedzających ją zajęć w ramach zjazdu. </w:t>
      </w:r>
    </w:p>
    <w:p w:rsidR="00D2460D" w:rsidRPr="00D2460D" w:rsidRDefault="00D2460D" w:rsidP="00D2460D">
      <w:pPr>
        <w:spacing w:after="0" w:line="240" w:lineRule="auto"/>
        <w:ind w:firstLine="708"/>
        <w:jc w:val="both"/>
        <w:rPr>
          <w:rFonts w:ascii="Times New Roman" w:eastAsia="Calibri" w:hAnsi="Times New Roman" w:cs="Times New Roman"/>
          <w:sz w:val="24"/>
          <w:szCs w:val="24"/>
        </w:rPr>
      </w:pPr>
      <w:r w:rsidRPr="00D2460D">
        <w:rPr>
          <w:rFonts w:ascii="Times New Roman" w:eastAsia="Calibri" w:hAnsi="Times New Roman" w:cs="Times New Roman"/>
          <w:sz w:val="24"/>
          <w:szCs w:val="24"/>
        </w:rPr>
        <w:t xml:space="preserve">Przedmiotem V zjazdu aplikacji prokuratorskiej trwającego w dniach od </w:t>
      </w:r>
      <w:r>
        <w:rPr>
          <w:rFonts w:ascii="Times New Roman" w:eastAsia="Calibri" w:hAnsi="Times New Roman" w:cs="Times New Roman"/>
          <w:sz w:val="24"/>
          <w:szCs w:val="24"/>
        </w:rPr>
        <w:t>10 do 14 września</w:t>
      </w:r>
      <w:r w:rsidRPr="00D2460D">
        <w:rPr>
          <w:rFonts w:ascii="Times New Roman" w:eastAsia="Calibri" w:hAnsi="Times New Roman" w:cs="Times New Roman"/>
          <w:sz w:val="24"/>
          <w:szCs w:val="24"/>
        </w:rPr>
        <w:t xml:space="preserve"> 2018 r. są:</w:t>
      </w:r>
    </w:p>
    <w:p w:rsidR="00D2460D" w:rsidRPr="00D2460D" w:rsidRDefault="00D2460D" w:rsidP="00D2460D">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Prawa człowieka w postępowaniu karnym</w:t>
      </w:r>
      <w:r w:rsidRPr="00D2460D">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D2460D">
        <w:rPr>
          <w:rFonts w:ascii="Times New Roman" w:eastAsia="Calibri" w:hAnsi="Times New Roman" w:cs="Times New Roman"/>
          <w:sz w:val="24"/>
          <w:szCs w:val="24"/>
        </w:rPr>
        <w:t>rzecznictwo Europejskiego Trybunału Praw Człowieka – z uwzględnieniem spraw polskich – dotyczące problematyki karnej</w:t>
      </w:r>
      <w:r>
        <w:rPr>
          <w:rFonts w:ascii="Times New Roman" w:eastAsia="Calibri" w:hAnsi="Times New Roman" w:cs="Times New Roman"/>
          <w:sz w:val="24"/>
          <w:szCs w:val="24"/>
        </w:rPr>
        <w:t>; z</w:t>
      </w:r>
      <w:r w:rsidRPr="00D2460D">
        <w:rPr>
          <w:rFonts w:ascii="Times New Roman" w:eastAsia="Calibri" w:hAnsi="Times New Roman" w:cs="Times New Roman"/>
          <w:sz w:val="24"/>
          <w:szCs w:val="24"/>
        </w:rPr>
        <w:t>asady proporcjonalności i rzeczywistej ochrony praw człowieka, prawo do życia, zakaz tortur, prawo do wolności i bezpieczeństwa osobistego (z wyjątkiem nadmiernej długości tymczasowego aresztowania – por. zjazd VII), prawo do rzetelnego procesu (z wyjątkiem przewlekłości postępowania – por. zjazd XVII).</w:t>
      </w:r>
    </w:p>
    <w:p w:rsidR="00D2460D" w:rsidRPr="00D2460D" w:rsidRDefault="00D2460D" w:rsidP="00D2460D">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Prawo karne materialne</w:t>
      </w:r>
      <w:r w:rsidRPr="00D2460D">
        <w:rPr>
          <w:rFonts w:ascii="Times New Roman" w:eastAsia="Calibri" w:hAnsi="Times New Roman" w:cs="Times New Roman"/>
          <w:sz w:val="24"/>
          <w:szCs w:val="24"/>
        </w:rPr>
        <w:t xml:space="preserve">: </w:t>
      </w:r>
      <w:r>
        <w:rPr>
          <w:rFonts w:ascii="Times New Roman" w:eastAsia="Calibri" w:hAnsi="Times New Roman" w:cs="Times New Roman"/>
          <w:sz w:val="24"/>
          <w:szCs w:val="24"/>
        </w:rPr>
        <w:t>f</w:t>
      </w:r>
      <w:r w:rsidRPr="00D2460D">
        <w:rPr>
          <w:rFonts w:ascii="Times New Roman" w:eastAsia="Calibri" w:hAnsi="Times New Roman" w:cs="Times New Roman"/>
          <w:sz w:val="24"/>
          <w:szCs w:val="24"/>
        </w:rPr>
        <w:t xml:space="preserve">ormy popełnienia przestępstwa, postacie stadialne </w:t>
      </w:r>
      <w:r>
        <w:rPr>
          <w:rFonts w:ascii="Times New Roman" w:eastAsia="Calibri" w:hAnsi="Times New Roman" w:cs="Times New Roman"/>
          <w:sz w:val="24"/>
          <w:szCs w:val="24"/>
        </w:rPr>
        <w:br/>
      </w:r>
      <w:r w:rsidRPr="00D2460D">
        <w:rPr>
          <w:rFonts w:ascii="Times New Roman" w:eastAsia="Calibri" w:hAnsi="Times New Roman" w:cs="Times New Roman"/>
          <w:sz w:val="24"/>
          <w:szCs w:val="24"/>
        </w:rPr>
        <w:t>i zjawiskowe</w:t>
      </w:r>
      <w:r>
        <w:rPr>
          <w:rFonts w:ascii="Times New Roman" w:eastAsia="Calibri" w:hAnsi="Times New Roman" w:cs="Times New Roman"/>
          <w:sz w:val="24"/>
          <w:szCs w:val="24"/>
        </w:rPr>
        <w:t xml:space="preserve">; </w:t>
      </w:r>
      <w:r>
        <w:rPr>
          <w:rFonts w:ascii="Times New Roman" w:eastAsiaTheme="minorEastAsia" w:hAnsi="Times New Roman"/>
          <w:kern w:val="144"/>
          <w:sz w:val="24"/>
          <w:lang w:eastAsia="pl-PL"/>
        </w:rPr>
        <w:t>zbieg przestępstw i zbieg przepisów ustawy.</w:t>
      </w:r>
    </w:p>
    <w:p w:rsidR="00D2460D" w:rsidRPr="00D2460D" w:rsidRDefault="00D2460D" w:rsidP="00D2460D">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Prawo karne procesowe:</w:t>
      </w:r>
      <w:r>
        <w:rPr>
          <w:rFonts w:ascii="Times New Roman" w:eastAsia="Calibri" w:hAnsi="Times New Roman" w:cs="Times New Roman"/>
          <w:sz w:val="24"/>
          <w:szCs w:val="24"/>
        </w:rPr>
        <w:t xml:space="preserve"> k</w:t>
      </w:r>
      <w:r w:rsidRPr="00D2460D">
        <w:rPr>
          <w:rFonts w:ascii="Times New Roman" w:eastAsia="Calibri" w:hAnsi="Times New Roman" w:cs="Times New Roman"/>
          <w:sz w:val="24"/>
          <w:szCs w:val="24"/>
        </w:rPr>
        <w:t>ontynuacja zajęć z zakresu form postępowania przygoto</w:t>
      </w:r>
      <w:r>
        <w:rPr>
          <w:rFonts w:ascii="Times New Roman" w:eastAsia="Calibri" w:hAnsi="Times New Roman" w:cs="Times New Roman"/>
          <w:sz w:val="24"/>
          <w:szCs w:val="24"/>
        </w:rPr>
        <w:t>wawczego: śledztwo, dochodzenie;</w:t>
      </w:r>
      <w:r w:rsidRPr="00D2460D">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D2460D">
        <w:rPr>
          <w:rFonts w:ascii="Times New Roman" w:eastAsia="Calibri" w:hAnsi="Times New Roman" w:cs="Times New Roman"/>
          <w:sz w:val="24"/>
          <w:szCs w:val="24"/>
        </w:rPr>
        <w:t>zynności zastrzeż</w:t>
      </w:r>
      <w:r>
        <w:rPr>
          <w:rFonts w:ascii="Times New Roman" w:eastAsia="Calibri" w:hAnsi="Times New Roman" w:cs="Times New Roman"/>
          <w:sz w:val="24"/>
          <w:szCs w:val="24"/>
        </w:rPr>
        <w:t xml:space="preserve">one dla prokuratora </w:t>
      </w:r>
      <w:r>
        <w:rPr>
          <w:rFonts w:ascii="Times New Roman" w:eastAsia="Calibri" w:hAnsi="Times New Roman" w:cs="Times New Roman"/>
          <w:sz w:val="24"/>
          <w:szCs w:val="24"/>
        </w:rPr>
        <w:br/>
        <w:t>w śledztwie;</w:t>
      </w:r>
      <w:r w:rsidRPr="00D2460D">
        <w:rPr>
          <w:rFonts w:ascii="Times New Roman" w:eastAsia="Calibri" w:hAnsi="Times New Roman" w:cs="Times New Roman"/>
          <w:sz w:val="24"/>
          <w:szCs w:val="24"/>
        </w:rPr>
        <w:t xml:space="preserve"> </w:t>
      </w:r>
      <w:r>
        <w:rPr>
          <w:rFonts w:ascii="Times New Roman" w:eastAsia="Calibri" w:hAnsi="Times New Roman" w:cs="Times New Roman"/>
          <w:sz w:val="24"/>
          <w:szCs w:val="24"/>
        </w:rPr>
        <w:t>ś</w:t>
      </w:r>
      <w:r w:rsidRPr="00D2460D">
        <w:rPr>
          <w:rFonts w:ascii="Times New Roman" w:eastAsia="Calibri" w:hAnsi="Times New Roman" w:cs="Times New Roman"/>
          <w:sz w:val="24"/>
          <w:szCs w:val="24"/>
        </w:rPr>
        <w:t>rodki zapobiegawcze stosowan</w:t>
      </w:r>
      <w:r>
        <w:rPr>
          <w:rFonts w:ascii="Times New Roman" w:eastAsia="Calibri" w:hAnsi="Times New Roman" w:cs="Times New Roman"/>
          <w:sz w:val="24"/>
          <w:szCs w:val="24"/>
        </w:rPr>
        <w:t>e przez prokuratora;</w:t>
      </w:r>
      <w:r w:rsidRPr="00D2460D">
        <w:rPr>
          <w:rFonts w:ascii="Times New Roman" w:eastAsia="Calibri" w:hAnsi="Times New Roman" w:cs="Times New Roman"/>
          <w:sz w:val="24"/>
          <w:szCs w:val="24"/>
        </w:rPr>
        <w:t xml:space="preserve"> </w:t>
      </w:r>
      <w:r>
        <w:rPr>
          <w:rFonts w:ascii="Times New Roman" w:eastAsia="Calibri" w:hAnsi="Times New Roman" w:cs="Times New Roman"/>
          <w:sz w:val="24"/>
          <w:szCs w:val="24"/>
        </w:rPr>
        <w:t>kary porządkowe; tymczasowe zajęcie mienia; z</w:t>
      </w:r>
      <w:r w:rsidRPr="00D2460D">
        <w:rPr>
          <w:rFonts w:ascii="Times New Roman" w:eastAsia="Calibri" w:hAnsi="Times New Roman" w:cs="Times New Roman"/>
          <w:sz w:val="24"/>
          <w:szCs w:val="24"/>
        </w:rPr>
        <w:t>abezpieczenie majątkowe</w:t>
      </w:r>
      <w:r>
        <w:rPr>
          <w:rFonts w:ascii="Times New Roman" w:eastAsia="Calibri" w:hAnsi="Times New Roman" w:cs="Times New Roman"/>
          <w:sz w:val="24"/>
          <w:szCs w:val="24"/>
        </w:rPr>
        <w:t>.</w:t>
      </w:r>
    </w:p>
    <w:p w:rsidR="00D2460D" w:rsidRPr="00D2460D" w:rsidRDefault="00D2460D" w:rsidP="00D2460D">
      <w:pPr>
        <w:spacing w:after="0" w:line="240" w:lineRule="auto"/>
        <w:ind w:left="720"/>
        <w:contextualSpacing/>
        <w:jc w:val="both"/>
        <w:rPr>
          <w:rFonts w:ascii="Times New Roman" w:eastAsia="Calibri" w:hAnsi="Times New Roman" w:cs="Times New Roman"/>
          <w:sz w:val="24"/>
          <w:szCs w:val="24"/>
        </w:rPr>
      </w:pPr>
    </w:p>
    <w:p w:rsidR="00D2460D" w:rsidRPr="00D2460D" w:rsidRDefault="00D2460D" w:rsidP="00D2460D">
      <w:pPr>
        <w:spacing w:after="0" w:line="240" w:lineRule="auto"/>
        <w:ind w:firstLine="360"/>
        <w:jc w:val="both"/>
        <w:rPr>
          <w:rFonts w:ascii="Times New Roman" w:eastAsia="Times New Roman" w:hAnsi="Times New Roman" w:cs="Times New Roman"/>
          <w:sz w:val="24"/>
          <w:szCs w:val="24"/>
          <w:lang w:eastAsia="pl-PL"/>
        </w:rPr>
      </w:pPr>
      <w:r w:rsidRPr="00D2460D">
        <w:rPr>
          <w:rFonts w:ascii="Times New Roman" w:eastAsia="Times New Roman" w:hAnsi="Times New Roman" w:cs="Times New Roman"/>
          <w:sz w:val="24"/>
          <w:szCs w:val="24"/>
          <w:lang w:eastAsia="pl-PL"/>
        </w:rPr>
        <w:t xml:space="preserve">Patroni praktyk winni zatem zadbać, aby aplikanci w pierwszej kolejności mieli możliwość zapoznania się z praktycznymi aspektami pracy prokuratora </w:t>
      </w:r>
      <w:r w:rsidRPr="00D2460D">
        <w:rPr>
          <w:rFonts w:ascii="Times New Roman" w:eastAsia="Times New Roman" w:hAnsi="Times New Roman" w:cs="Times New Roman"/>
          <w:sz w:val="24"/>
          <w:szCs w:val="24"/>
          <w:lang w:eastAsia="pl-PL"/>
        </w:rPr>
        <w:br/>
        <w:t xml:space="preserve">w zakresie objętym tematyką zjazdu, a w szczególności mieli możliwość zapoznania się </w:t>
      </w:r>
      <w:r w:rsidRPr="00D2460D">
        <w:rPr>
          <w:rFonts w:ascii="Times New Roman" w:eastAsia="Times New Roman" w:hAnsi="Times New Roman" w:cs="Times New Roman"/>
          <w:sz w:val="24"/>
          <w:szCs w:val="24"/>
          <w:lang w:eastAsia="pl-PL"/>
        </w:rPr>
        <w:br/>
        <w:t xml:space="preserve">z czynnościami prokuratora w postępowaniu przygotowawczym związanymi </w:t>
      </w:r>
      <w:r w:rsidRPr="00D2460D">
        <w:rPr>
          <w:rFonts w:ascii="Times New Roman" w:eastAsia="Times New Roman" w:hAnsi="Times New Roman" w:cs="Times New Roman"/>
          <w:sz w:val="24"/>
          <w:szCs w:val="24"/>
          <w:lang w:eastAsia="pl-PL"/>
        </w:rPr>
        <w:br/>
        <w:t xml:space="preserve">z </w:t>
      </w:r>
      <w:r>
        <w:rPr>
          <w:rFonts w:ascii="Times New Roman" w:eastAsia="Times New Roman" w:hAnsi="Times New Roman" w:cs="Times New Roman"/>
          <w:sz w:val="24"/>
          <w:szCs w:val="24"/>
          <w:lang w:eastAsia="pl-PL"/>
        </w:rPr>
        <w:t>czynnościami zastrzeżonymi dla prokuratora w śledztwie, stosowaniem przez prokuratora środków zapobiegawczych oraz kar porządkowych, a także ze sporządzaniem postanowień o zabezpieczeniu majątkowym</w:t>
      </w:r>
      <w:r w:rsidRPr="00D2460D">
        <w:rPr>
          <w:rFonts w:ascii="Times New Roman" w:eastAsia="Times New Roman" w:hAnsi="Times New Roman" w:cs="Times New Roman"/>
          <w:bCs/>
          <w:iCs/>
          <w:sz w:val="24"/>
          <w:szCs w:val="24"/>
          <w:lang w:eastAsia="pl-PL"/>
        </w:rPr>
        <w:t>.</w:t>
      </w:r>
    </w:p>
    <w:p w:rsidR="00D2460D" w:rsidRDefault="00D2460D" w:rsidP="00D2460D">
      <w:pPr>
        <w:spacing w:after="0" w:line="240" w:lineRule="auto"/>
        <w:ind w:left="57" w:firstLine="709"/>
        <w:jc w:val="both"/>
        <w:rPr>
          <w:rFonts w:ascii="Times New Roman" w:eastAsia="Times New Roman" w:hAnsi="Times New Roman" w:cs="Times New Roman"/>
          <w:sz w:val="24"/>
          <w:szCs w:val="24"/>
          <w:lang w:eastAsia="pl-PL"/>
        </w:rPr>
      </w:pPr>
    </w:p>
    <w:p w:rsidR="00DE2BB4" w:rsidRPr="00D2460D" w:rsidRDefault="00DE2BB4" w:rsidP="00D2460D">
      <w:pPr>
        <w:spacing w:after="0" w:line="240" w:lineRule="auto"/>
        <w:ind w:left="57" w:firstLine="709"/>
        <w:jc w:val="both"/>
        <w:rPr>
          <w:rFonts w:ascii="Times New Roman" w:eastAsia="Times New Roman" w:hAnsi="Times New Roman" w:cs="Times New Roman"/>
          <w:sz w:val="24"/>
          <w:szCs w:val="24"/>
          <w:lang w:eastAsia="pl-PL"/>
        </w:rPr>
      </w:pPr>
    </w:p>
    <w:p w:rsidR="00DE2BB4" w:rsidRPr="00DE2BB4" w:rsidRDefault="00DE2BB4" w:rsidP="00DE2BB4">
      <w:pPr>
        <w:spacing w:after="0" w:line="240" w:lineRule="auto"/>
        <w:ind w:firstLine="708"/>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lastRenderedPageBreak/>
        <w:t>Aplikanci powinni zapoznać się w szczególności ze sprawami, w których istnieje możliwość:</w:t>
      </w:r>
    </w:p>
    <w:p w:rsidR="00DE2BB4" w:rsidRDefault="00DE2BB4" w:rsidP="00DE2BB4">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analizy materiału aktowego w kierunku oceny konieczności stosowania środków zapobiegawczych i wyboru właściwego środka z uwagi na zdiagnozowane zagrożenia dla prawidłowości biegu postępowania przygotowawczego,</w:t>
      </w:r>
    </w:p>
    <w:p w:rsidR="00DE2BB4" w:rsidRPr="00DE2BB4" w:rsidRDefault="00DE2BB4" w:rsidP="00DE2BB4">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zapoznania się z obowiązującymi schematami decyzji o zastosowaniu wolnościowych środków zapobiegawczych, z uwzględnieniem możliwości łączenia tych środków </w:t>
      </w:r>
    </w:p>
    <w:p w:rsidR="00DE2BB4" w:rsidRDefault="00DE2BB4" w:rsidP="00DE2BB4">
      <w:pPr>
        <w:spacing w:after="0" w:line="240" w:lineRule="auto"/>
        <w:ind w:firstLine="708"/>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w zespoły w ramac</w:t>
      </w:r>
      <w:r>
        <w:rPr>
          <w:rFonts w:ascii="Times New Roman" w:eastAsia="Times New Roman" w:hAnsi="Times New Roman" w:cs="Times New Roman"/>
          <w:sz w:val="24"/>
          <w:szCs w:val="24"/>
          <w:lang w:eastAsia="pl-PL"/>
        </w:rPr>
        <w:t>h jednej decyzji,</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kształtowania oceny konieczności stosowania środka zapobiegawczego w sytuacjach gdy dotyczy to osoby zatrzymanej, a zatrzymanie było uwarunkowane potrzebą stosowania takiego środka, z uwzględnieniem treści wyjaśnień takiej osoby,</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opracowywania projektów postanowień o zastosowaniu przez prokuratora środków zapobiegawczych, w tym postanowienia o poręczeniu majątkowym (art. 266 k.p.k.), poręczenia społecznego (art. 271 k.p.k.), poręczenia osoby godnej zaufania              (art. 272 k.p.k.), dozoru Policji (art. 275 k.p.k.), nakazu opuszczenia lokalu mieszkalnego (art. 275a k.p.k.), zawieszenia w czynnościach (art. 276 k.p.k.), zakazu opuszczania kraju (art. 277 k.p.k.), </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szerszego uzasadnienia tych decyzji – zarówno w warstwie zasadności zastosowania jak trafności wyboru konkretnego środka, tak by nie sprowadzało się ono wyłącznie do powtórzenia tekstu ustawy ( art. 251 § 3 k.p.k.),</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analizy materiałów zebranych w postępowaniu przygotowawczym w zakresie zaskarżania ww. decyzji, z uwzględnieniem argumentów podnoszonych przez skarżących oraz treści decyzji w przedmiocie rozpoznania zażaleń, </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analizy materiałów zebranych w toku postępowania przygotowawczego, w ramach którego zastosowano środki zapobiegawcze – pod kątem potrzeby ich zmiany lub uchylenia (art. 253 k.p.k.),</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opracowania projektu decyzji o odmowie uwzględnienia wniosku w przedmiocie uchylenia lub zmiany środka zapobiegawczego, w tym także – decyzji częściowo uwzględniającej wniosek,</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analizy materiałów w zakresie doręczania ww. postanowień odpowiednim instytucjom, a w tym: pracodawcy, właściwemu organowi samorządu zawodowego albo instytucji, Komendzie Głównej Policji (§ 198 Regulaminu), Komendzie Głównej Straży Granicznej (§ 197 Regulaminu),</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zapoznania się z treścią postanowień o zabezpieczeniu majątkowym (art. 291 k.p.k.) oraz dokumentacji procesowej wskazującej na zabezpieczenie mienia ruchomego (art. 295 k.p.k.) lub dokumentującej poszukiwanie i ujawnianie składników majątkowych podejrzanego (bazy danych, wypisy z ksiąg wieczystych, akty notarialne, dokumentacja bankowa itd.), </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analizy materiałów zebranych w toku postępowania przygotowawczego, celem ustalenia czy istnieją przesłanki do wydania postanowienia o zabezpieczeniu majątkowym (art. 291 k.p.k.), a także analiza akt w zakresie sposobu zabezpieczenia (art. 292 k.p.k.), </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sporządzania projektów postanowień o zabezpieczeniu majątkowym  (ze szczególnym uwzględnieniem właściwego określania zakresu kwotowego i sposobu zabezpieczenia – art. 293 § 2 k.p.k. oraz uzasadniania decyzji, a także podkreśleniem znaczenia zmian ustawodawczych zarówno w odniesieniu do zakresu i przedmiotu zabezpieczenia, jak   i do trybu wykonania decyzji),</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lastRenderedPageBreak/>
        <w:t>sporządzania notatki analitycznej uzasadniającej stanowisko o braku podstaw lub konieczności zastosowania zabezpieczenia majątkowego – w całości lub w określonej formie,</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analizy materiałów zebranych w postępowaniu przygotowawczym w zakresie zaskarżania ww. decyzji, z uwzględnieniem argumentów podnoszonych przez skarżących oraz treści decyzji w przedmiocie rozpoznania zażaleń, </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analizy materiałów zebranych w toku postępowania przygotowawczego, w toku którego zastosowano zabezpieczenie majątkowe, pod kątem potrzeby uchylenia decyzji w całości lub części (art. 291 § 4 k.p.k.),</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zapoznania się z treścią postanowień o nałożeniu na świadka, biegłego, tłumacza lub specjalistę kary pieniężnej (art. 285 k.p.k.) oraz rozstrzygnięciami w przedmiocie uchylenia takiej decyzji (art. 286 k.p.k.),</w:t>
      </w:r>
    </w:p>
    <w:p w:rsidR="00C21B59" w:rsidRDefault="00C21B59"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sporządzanie projektów takich postanowień wraz z ich uzasadnieniem,</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analizy materiałów zebranych w toku postępowania przygotowawczego celem ustalenia czy istnieją przesłanki do wydania ww. postanowień, </w:t>
      </w:r>
    </w:p>
    <w:p w:rsidR="00DE2BB4" w:rsidRDefault="00DE2BB4" w:rsidP="00DE2BB4">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 xml:space="preserve">analizy materiałów zebranych w postępowaniu przygotowawczym w zakresie zaskarżania ww. decyzji, z uwzględnieniem argumentów podnoszonych przez skarżących oraz treści decyzji w </w:t>
      </w:r>
      <w:r>
        <w:rPr>
          <w:rFonts w:ascii="Times New Roman" w:eastAsia="Times New Roman" w:hAnsi="Times New Roman" w:cs="Times New Roman"/>
          <w:sz w:val="24"/>
          <w:szCs w:val="24"/>
          <w:lang w:eastAsia="pl-PL"/>
        </w:rPr>
        <w:t>przedmiocie rozpoznania zażaleń.</w:t>
      </w:r>
      <w:bookmarkStart w:id="0" w:name="_GoBack"/>
      <w:bookmarkEnd w:id="0"/>
    </w:p>
    <w:p w:rsidR="00DE2BB4" w:rsidRDefault="00DE2BB4" w:rsidP="00DE2BB4">
      <w:pPr>
        <w:spacing w:after="0" w:line="240" w:lineRule="auto"/>
        <w:ind w:firstLine="360"/>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Przy wykonywaniu powyższych czynności, aplikantom należy zwracać uwagę nie tylko na przepisy Kodeksu postępowania karnego i oparte na nich orzecznictwo, ale również na zasady wynikające z Regulaminu wewnętrznego urzędowania powszechnych jednostek organizacyjnych prokuratury oraz wytycznych i pism instrukcyjnych. W szczególności           w kontekście zasad stosowania zabezpieczenia majątkowego należy omówić z aplikantami, na konkretnych przykładach, praktyczne uwarunkowania wynikające z takich wytycznych             i poleceń dla poszczególnych rodzajów przestępstw, a także przedstawić uzgodnienia              z kooperantami procesowymi co do sposobu realizacji polecenia gromadzenia informacji        o stanie majątkowym osób na etapie przed formalnym przedstawieniem zarzutu.</w:t>
      </w:r>
    </w:p>
    <w:p w:rsidR="00DE2BB4" w:rsidRPr="00DE2BB4" w:rsidRDefault="00DE2BB4" w:rsidP="00DE2BB4">
      <w:pPr>
        <w:spacing w:after="0" w:line="240" w:lineRule="auto"/>
        <w:ind w:firstLine="360"/>
        <w:jc w:val="both"/>
        <w:rPr>
          <w:rFonts w:ascii="Times New Roman" w:eastAsia="Times New Roman" w:hAnsi="Times New Roman" w:cs="Times New Roman"/>
          <w:sz w:val="24"/>
          <w:szCs w:val="24"/>
          <w:lang w:eastAsia="pl-PL"/>
        </w:rPr>
      </w:pPr>
    </w:p>
    <w:p w:rsidR="00DE2BB4" w:rsidRPr="00DE2BB4" w:rsidRDefault="00DE2BB4" w:rsidP="00DE2BB4">
      <w:pPr>
        <w:spacing w:after="0" w:line="240" w:lineRule="auto"/>
        <w:ind w:firstLine="708"/>
        <w:jc w:val="both"/>
        <w:rPr>
          <w:rFonts w:ascii="Times New Roman" w:eastAsia="Times New Roman" w:hAnsi="Times New Roman" w:cs="Times New Roman"/>
          <w:sz w:val="24"/>
          <w:szCs w:val="24"/>
          <w:lang w:eastAsia="pl-PL"/>
        </w:rPr>
      </w:pPr>
      <w:r w:rsidRPr="00DE2BB4">
        <w:rPr>
          <w:rFonts w:ascii="Times New Roman" w:eastAsia="Times New Roman" w:hAnsi="Times New Roman" w:cs="Times New Roman"/>
          <w:sz w:val="24"/>
          <w:szCs w:val="24"/>
          <w:lang w:eastAsia="pl-PL"/>
        </w:rPr>
        <w:t>Powyższe zalecenia nie eliminują możliwości wykonywania przez aplikantów innych zadań wynikających z bieżącego funkcjonowania prokuratury. Patroni zadbać jednak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wpływających na ogólne podniesienie umiejętności aplikanta. Ma temu również służyć zapoznanie aplikantów z zasadami biurowości – w tym prowadzenia urządzeń ewidencyjnych.</w:t>
      </w:r>
    </w:p>
    <w:p w:rsidR="00D2460D" w:rsidRPr="00D2460D" w:rsidRDefault="00D2460D" w:rsidP="00D2460D">
      <w:pPr>
        <w:spacing w:after="0" w:line="240" w:lineRule="auto"/>
        <w:ind w:firstLine="708"/>
        <w:jc w:val="both"/>
        <w:rPr>
          <w:rFonts w:ascii="Times New Roman" w:eastAsia="Calibri" w:hAnsi="Times New Roman" w:cs="Times New Roman"/>
          <w:sz w:val="24"/>
          <w:szCs w:val="24"/>
        </w:rPr>
      </w:pPr>
    </w:p>
    <w:p w:rsidR="00D2460D" w:rsidRPr="00D2460D" w:rsidRDefault="00D2460D" w:rsidP="00D2460D">
      <w:pPr>
        <w:spacing w:after="0" w:line="240" w:lineRule="auto"/>
        <w:ind w:firstLine="360"/>
        <w:jc w:val="both"/>
        <w:rPr>
          <w:rFonts w:ascii="Times New Roman" w:eastAsia="Times New Roman" w:hAnsi="Times New Roman" w:cs="Times New Roman"/>
          <w:sz w:val="24"/>
          <w:szCs w:val="24"/>
          <w:lang w:eastAsia="pl-PL"/>
        </w:rPr>
      </w:pPr>
      <w:r w:rsidRPr="00D2460D">
        <w:rPr>
          <w:rFonts w:ascii="Times New Roman" w:eastAsia="Times New Roman" w:hAnsi="Times New Roman" w:cs="Times New Roman"/>
          <w:sz w:val="24"/>
          <w:szCs w:val="24"/>
          <w:lang w:eastAsia="pl-PL"/>
        </w:rPr>
        <w:t>Uprzejmie informuję, że przedmiotem sprawdzianu, który aplikanci będą pisać po odbyciu praktyk po V</w:t>
      </w:r>
      <w:r w:rsidR="00DE2BB4">
        <w:rPr>
          <w:rFonts w:ascii="Times New Roman" w:eastAsia="Times New Roman" w:hAnsi="Times New Roman" w:cs="Times New Roman"/>
          <w:sz w:val="24"/>
          <w:szCs w:val="24"/>
          <w:lang w:eastAsia="pl-PL"/>
        </w:rPr>
        <w:t>I</w:t>
      </w:r>
      <w:r w:rsidRPr="00D2460D">
        <w:rPr>
          <w:rFonts w:ascii="Times New Roman" w:eastAsia="Times New Roman" w:hAnsi="Times New Roman" w:cs="Times New Roman"/>
          <w:sz w:val="24"/>
          <w:szCs w:val="24"/>
          <w:lang w:eastAsia="pl-PL"/>
        </w:rPr>
        <w:t xml:space="preserve"> zjeździe (na początku VI</w:t>
      </w:r>
      <w:r w:rsidR="00DE2BB4">
        <w:rPr>
          <w:rFonts w:ascii="Times New Roman" w:eastAsia="Times New Roman" w:hAnsi="Times New Roman" w:cs="Times New Roman"/>
          <w:sz w:val="24"/>
          <w:szCs w:val="24"/>
          <w:lang w:eastAsia="pl-PL"/>
        </w:rPr>
        <w:t>I</w:t>
      </w:r>
      <w:r w:rsidRPr="00D2460D">
        <w:rPr>
          <w:rFonts w:ascii="Times New Roman" w:eastAsia="Times New Roman" w:hAnsi="Times New Roman" w:cs="Times New Roman"/>
          <w:sz w:val="24"/>
          <w:szCs w:val="24"/>
          <w:lang w:eastAsia="pl-PL"/>
        </w:rPr>
        <w:t xml:space="preserve"> zjazdu) będzie </w:t>
      </w:r>
      <w:r w:rsidR="00DE2BB4">
        <w:rPr>
          <w:rFonts w:ascii="Times New Roman" w:eastAsia="Times New Roman" w:hAnsi="Times New Roman" w:cs="Times New Roman"/>
          <w:sz w:val="24"/>
          <w:szCs w:val="24"/>
          <w:lang w:eastAsia="pl-PL"/>
        </w:rPr>
        <w:t>opracowanie projektu postanowienia o zabezpieczeniu majątkowym</w:t>
      </w:r>
      <w:r w:rsidRPr="00D2460D">
        <w:rPr>
          <w:rFonts w:ascii="Times New Roman" w:eastAsia="Times New Roman" w:hAnsi="Times New Roman" w:cs="Times New Roman"/>
          <w:sz w:val="24"/>
          <w:szCs w:val="24"/>
          <w:lang w:eastAsia="pl-PL"/>
        </w:rPr>
        <w:t xml:space="preserve">. </w:t>
      </w:r>
    </w:p>
    <w:p w:rsidR="00D2460D" w:rsidRPr="00D2460D" w:rsidRDefault="00D2460D" w:rsidP="00D2460D">
      <w:pPr>
        <w:spacing w:after="0" w:line="240" w:lineRule="auto"/>
        <w:ind w:firstLine="360"/>
        <w:jc w:val="both"/>
        <w:rPr>
          <w:rFonts w:ascii="Times New Roman" w:eastAsia="Times New Roman" w:hAnsi="Times New Roman" w:cs="Times New Roman"/>
          <w:sz w:val="24"/>
          <w:szCs w:val="24"/>
          <w:lang w:eastAsia="pl-PL"/>
        </w:rPr>
      </w:pPr>
      <w:r w:rsidRPr="00D2460D">
        <w:rPr>
          <w:rFonts w:ascii="Times New Roman" w:eastAsia="Times New Roman" w:hAnsi="Times New Roman" w:cs="Times New Roman"/>
          <w:sz w:val="24"/>
          <w:szCs w:val="24"/>
          <w:lang w:eastAsia="pl-PL"/>
        </w:rPr>
        <w:t>Dlatego ważnym jest, aby aplikanci podczas praktyk opanowali tę umiejętność w jak najwyższym stopniu.</w:t>
      </w:r>
    </w:p>
    <w:p w:rsidR="00D2460D" w:rsidRPr="00D2460D" w:rsidRDefault="00D2460D" w:rsidP="00D2460D">
      <w:pPr>
        <w:spacing w:after="0" w:line="240" w:lineRule="auto"/>
        <w:ind w:firstLine="360"/>
        <w:jc w:val="center"/>
        <w:rPr>
          <w:rFonts w:ascii="Garamond" w:eastAsia="Times New Roman" w:hAnsi="Garamond" w:cs="Times New Roman"/>
          <w:sz w:val="24"/>
          <w:szCs w:val="24"/>
          <w:lang w:eastAsia="pl-PL"/>
        </w:rPr>
      </w:pPr>
    </w:p>
    <w:p w:rsidR="000B4076" w:rsidRDefault="000B4076" w:rsidP="00D2460D">
      <w:pPr>
        <w:spacing w:after="0" w:line="240" w:lineRule="auto"/>
        <w:jc w:val="center"/>
      </w:pPr>
    </w:p>
    <w:sectPr w:rsidR="000B4076" w:rsidSect="00F129C1">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5C" w:rsidRDefault="00D4615C">
      <w:pPr>
        <w:spacing w:after="0" w:line="240" w:lineRule="auto"/>
      </w:pPr>
      <w:r>
        <w:separator/>
      </w:r>
    </w:p>
  </w:endnote>
  <w:endnote w:type="continuationSeparator" w:id="0">
    <w:p w:rsidR="00D4615C" w:rsidRDefault="00D4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5C" w:rsidRDefault="00D4615C">
      <w:pPr>
        <w:spacing w:after="0" w:line="240" w:lineRule="auto"/>
      </w:pPr>
      <w:r>
        <w:separator/>
      </w:r>
    </w:p>
  </w:footnote>
  <w:footnote w:type="continuationSeparator" w:id="0">
    <w:p w:rsidR="00D4615C" w:rsidRDefault="00D46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36" w:rsidRDefault="00EC4C82">
    <w:pPr>
      <w:pStyle w:val="Nagwek"/>
      <w:jc w:val="center"/>
    </w:pPr>
    <w:r>
      <w:fldChar w:fldCharType="begin"/>
    </w:r>
    <w:r>
      <w:instrText>PAGE   \* MERGEFORMAT</w:instrText>
    </w:r>
    <w:r>
      <w:fldChar w:fldCharType="separate"/>
    </w:r>
    <w:r w:rsidR="00C21B59">
      <w:rPr>
        <w:noProof/>
      </w:rPr>
      <w:t>2</w:t>
    </w:r>
    <w:r>
      <w:fldChar w:fldCharType="end"/>
    </w:r>
  </w:p>
  <w:p w:rsidR="00014C36" w:rsidRDefault="00D461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21" w:rsidRPr="00162921" w:rsidRDefault="00EC4C82" w:rsidP="00162921">
    <w:pPr>
      <w:pStyle w:val="Nagwek"/>
      <w:tabs>
        <w:tab w:val="clear" w:pos="4536"/>
        <w:tab w:val="clear" w:pos="9072"/>
        <w:tab w:val="center" w:pos="1080"/>
        <w:tab w:val="left" w:pos="1440"/>
        <w:tab w:val="right" w:pos="5103"/>
        <w:tab w:val="left" w:pos="10527"/>
      </w:tabs>
      <w:ind w:left="-851" w:right="5526"/>
      <w:rPr>
        <w:rFonts w:ascii="Century Gothic" w:eastAsia="Times New Roman" w:hAnsi="Century Gothic" w:cs="Shruti"/>
        <w:spacing w:val="20"/>
        <w:sz w:val="30"/>
        <w:szCs w:val="30"/>
        <w:lang w:eastAsia="pl-PL"/>
      </w:rPr>
    </w:pPr>
    <w:r>
      <w:rPr>
        <w:noProof/>
        <w:lang w:eastAsia="pl-PL"/>
      </w:rPr>
      <w:drawing>
        <wp:anchor distT="0" distB="0" distL="114300" distR="114300" simplePos="0" relativeHeight="251659264" behindDoc="0" locked="0" layoutInCell="1" allowOverlap="1" wp14:anchorId="7F3E5017" wp14:editId="14938149">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21">
      <w:rPr>
        <w:rFonts w:ascii="Century Gothic" w:eastAsia="Times New Roman" w:hAnsi="Century Gothic" w:cs="Shruti"/>
        <w:spacing w:val="20"/>
        <w:sz w:val="30"/>
        <w:szCs w:val="30"/>
        <w:lang w:eastAsia="pl-PL"/>
      </w:rPr>
      <w:t xml:space="preserve"> </w:t>
    </w:r>
  </w:p>
  <w:p w:rsidR="00162921" w:rsidRPr="00162921" w:rsidRDefault="00D4615C" w:rsidP="00162921">
    <w:pPr>
      <w:tabs>
        <w:tab w:val="center" w:pos="4536"/>
        <w:tab w:val="right" w:pos="9072"/>
      </w:tabs>
      <w:spacing w:after="0" w:line="240" w:lineRule="auto"/>
      <w:ind w:right="4959"/>
      <w:jc w:val="center"/>
      <w:rPr>
        <w:rFonts w:ascii="Times New Roman" w:eastAsia="Times New Roman" w:hAnsi="Times New Roman"/>
        <w:b/>
        <w:sz w:val="24"/>
        <w:szCs w:val="24"/>
        <w:lang w:eastAsia="pl-PL"/>
      </w:rPr>
    </w:pPr>
  </w:p>
  <w:p w:rsidR="00162921" w:rsidRPr="00162921" w:rsidRDefault="00D4615C" w:rsidP="00162921">
    <w:pPr>
      <w:tabs>
        <w:tab w:val="center" w:pos="4536"/>
        <w:tab w:val="right" w:pos="9072"/>
      </w:tabs>
      <w:spacing w:after="0" w:line="240" w:lineRule="auto"/>
      <w:ind w:left="-851" w:right="5526"/>
      <w:jc w:val="center"/>
      <w:rPr>
        <w:rFonts w:ascii="Times New Roman" w:eastAsia="Times New Roman" w:hAnsi="Times New Roman"/>
        <w:b/>
        <w:sz w:val="8"/>
        <w:szCs w:val="8"/>
        <w:lang w:eastAsia="pl-PL"/>
      </w:rPr>
    </w:pPr>
  </w:p>
  <w:p w:rsidR="00162921" w:rsidRPr="00162921" w:rsidRDefault="00EC4C82" w:rsidP="00162921">
    <w:pPr>
      <w:tabs>
        <w:tab w:val="center" w:pos="4536"/>
        <w:tab w:val="right" w:pos="9072"/>
      </w:tabs>
      <w:spacing w:after="0" w:line="240" w:lineRule="auto"/>
      <w:ind w:left="-851" w:right="5526"/>
      <w:jc w:val="center"/>
      <w:rPr>
        <w:rFonts w:ascii="Times New Roman" w:eastAsia="Times New Roman" w:hAnsi="Times New Roman"/>
        <w:b/>
        <w:sz w:val="24"/>
        <w:szCs w:val="24"/>
        <w:lang w:eastAsia="pl-PL"/>
      </w:rPr>
    </w:pPr>
    <w:r w:rsidRPr="00162921">
      <w:rPr>
        <w:rFonts w:ascii="Times New Roman" w:eastAsia="Times New Roman" w:hAnsi="Times New Roman"/>
        <w:b/>
        <w:sz w:val="24"/>
        <w:szCs w:val="24"/>
        <w:lang w:eastAsia="pl-PL"/>
      </w:rPr>
      <w:t>KRAJOWA SZKOŁA</w:t>
    </w:r>
  </w:p>
  <w:p w:rsidR="00162921" w:rsidRPr="00162921" w:rsidRDefault="00EC4C82" w:rsidP="00162921">
    <w:pPr>
      <w:tabs>
        <w:tab w:val="center" w:pos="4536"/>
        <w:tab w:val="right" w:pos="9072"/>
      </w:tabs>
      <w:spacing w:after="0" w:line="240" w:lineRule="auto"/>
      <w:ind w:left="-851" w:right="5526"/>
      <w:jc w:val="center"/>
      <w:rPr>
        <w:rFonts w:ascii="Times New Roman" w:eastAsia="Times New Roman" w:hAnsi="Times New Roman"/>
        <w:b/>
        <w:sz w:val="24"/>
        <w:szCs w:val="24"/>
        <w:lang w:eastAsia="pl-PL"/>
      </w:rPr>
    </w:pPr>
    <w:r w:rsidRPr="00162921">
      <w:rPr>
        <w:rFonts w:ascii="Times New Roman" w:eastAsia="Times New Roman" w:hAnsi="Times New Roman"/>
        <w:b/>
        <w:sz w:val="24"/>
        <w:szCs w:val="24"/>
        <w:lang w:eastAsia="pl-PL"/>
      </w:rPr>
      <w:t>SĄDOWNICTWA I PROKURATURY</w:t>
    </w:r>
  </w:p>
  <w:p w:rsidR="00162921" w:rsidRDefault="00D4615C">
    <w:pPr>
      <w:pStyle w:val="Nagwek"/>
    </w:pPr>
  </w:p>
  <w:p w:rsidR="00162921" w:rsidRDefault="00D461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F63D4"/>
    <w:multiLevelType w:val="hybridMultilevel"/>
    <w:tmpl w:val="1C7AD0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9DC1EC2"/>
    <w:multiLevelType w:val="hybridMultilevel"/>
    <w:tmpl w:val="57549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A955C2"/>
    <w:multiLevelType w:val="hybridMultilevel"/>
    <w:tmpl w:val="7F009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60C0A07"/>
    <w:multiLevelType w:val="hybridMultilevel"/>
    <w:tmpl w:val="A24AA248"/>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4">
    <w:nsid w:val="6FBB2AC2"/>
    <w:multiLevelType w:val="hybridMultilevel"/>
    <w:tmpl w:val="23721CD0"/>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5">
    <w:nsid w:val="757B482B"/>
    <w:multiLevelType w:val="hybridMultilevel"/>
    <w:tmpl w:val="19FC2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0D"/>
    <w:rsid w:val="000453C8"/>
    <w:rsid w:val="000B4076"/>
    <w:rsid w:val="004F70B0"/>
    <w:rsid w:val="00C21B59"/>
    <w:rsid w:val="00D2460D"/>
    <w:rsid w:val="00D4615C"/>
    <w:rsid w:val="00DE2BB4"/>
    <w:rsid w:val="00EC4C82"/>
    <w:rsid w:val="00FB5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460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D2460D"/>
    <w:rPr>
      <w:rFonts w:ascii="Calibri" w:eastAsia="Calibri" w:hAnsi="Calibri" w:cs="Times New Roman"/>
    </w:rPr>
  </w:style>
  <w:style w:type="paragraph" w:styleId="Akapitzlist">
    <w:name w:val="List Paragraph"/>
    <w:basedOn w:val="Normalny"/>
    <w:uiPriority w:val="34"/>
    <w:qFormat/>
    <w:rsid w:val="00DE2B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460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D2460D"/>
    <w:rPr>
      <w:rFonts w:ascii="Calibri" w:eastAsia="Calibri" w:hAnsi="Calibri" w:cs="Times New Roman"/>
    </w:rPr>
  </w:style>
  <w:style w:type="paragraph" w:styleId="Akapitzlist">
    <w:name w:val="List Paragraph"/>
    <w:basedOn w:val="Normalny"/>
    <w:uiPriority w:val="34"/>
    <w:qFormat/>
    <w:rsid w:val="00DE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1231</Words>
  <Characters>7386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6</cp:revision>
  <dcterms:created xsi:type="dcterms:W3CDTF">2018-07-05T09:43:00Z</dcterms:created>
  <dcterms:modified xsi:type="dcterms:W3CDTF">2018-07-05T11:34:00Z</dcterms:modified>
</cp:coreProperties>
</file>