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FFD" w:rsidRPr="00985EB3" w:rsidRDefault="00660FFD" w:rsidP="00985EB3">
      <w:pPr>
        <w:spacing w:before="120" w:after="1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OAP-II.420.17</w:t>
      </w:r>
      <w:r w:rsidRPr="00FA4AAD">
        <w:rPr>
          <w:rFonts w:ascii="Times New Roman" w:eastAsia="Times New Roman" w:hAnsi="Times New Roman" w:cs="Times New Roman"/>
          <w:sz w:val="24"/>
          <w:szCs w:val="24"/>
          <w:lang w:eastAsia="pl-PL"/>
        </w:rPr>
        <w:t>.2018</w:t>
      </w:r>
      <w:r w:rsidRPr="00FA4A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Pr="00FA4AAD">
        <w:rPr>
          <w:rFonts w:ascii="Times New Roman" w:eastAsia="Calibri" w:hAnsi="Times New Roman" w:cs="Times New Roman"/>
          <w:sz w:val="24"/>
          <w:szCs w:val="24"/>
        </w:rPr>
        <w:t xml:space="preserve">      Kraków, dnia </w:t>
      </w:r>
      <w:r>
        <w:rPr>
          <w:rFonts w:ascii="Times New Roman" w:eastAsia="Calibri" w:hAnsi="Times New Roman" w:cs="Times New Roman"/>
          <w:sz w:val="24"/>
          <w:szCs w:val="24"/>
        </w:rPr>
        <w:t>24 maja</w:t>
      </w:r>
      <w:r w:rsidRPr="00FA4AAD">
        <w:rPr>
          <w:rFonts w:ascii="Times New Roman" w:eastAsia="Calibri" w:hAnsi="Times New Roman" w:cs="Times New Roman"/>
          <w:sz w:val="24"/>
          <w:szCs w:val="24"/>
        </w:rPr>
        <w:t xml:space="preserve"> 2018 r.</w:t>
      </w:r>
    </w:p>
    <w:p w:rsidR="00660FFD" w:rsidRPr="00985EB3" w:rsidRDefault="00660FFD" w:rsidP="00985EB3">
      <w:pPr>
        <w:spacing w:before="480" w:after="480"/>
        <w:ind w:left="3969"/>
        <w:rPr>
          <w:rFonts w:ascii="Times New Roman" w:eastAsia="Calibri" w:hAnsi="Times New Roman" w:cs="Times New Roman"/>
          <w:b/>
          <w:sz w:val="24"/>
          <w:szCs w:val="24"/>
        </w:rPr>
      </w:pPr>
      <w:r w:rsidRPr="00FA4AAD">
        <w:rPr>
          <w:rFonts w:ascii="Times New Roman" w:eastAsia="Calibri" w:hAnsi="Times New Roman" w:cs="Times New Roman"/>
          <w:b/>
          <w:sz w:val="24"/>
          <w:szCs w:val="24"/>
        </w:rPr>
        <w:t>Patroni Koordynatorzy</w:t>
      </w:r>
      <w:r w:rsidRPr="00FA4AAD">
        <w:rPr>
          <w:rFonts w:ascii="Times New Roman" w:eastAsia="Calibri" w:hAnsi="Times New Roman" w:cs="Times New Roman"/>
          <w:b/>
          <w:sz w:val="24"/>
          <w:szCs w:val="24"/>
        </w:rPr>
        <w:br/>
        <w:t>oraz Patroni praktyk</w:t>
      </w:r>
      <w:r w:rsidRPr="00FA4AAD">
        <w:rPr>
          <w:rFonts w:ascii="Times New Roman" w:eastAsia="Calibri" w:hAnsi="Times New Roman" w:cs="Times New Roman"/>
          <w:b/>
          <w:sz w:val="24"/>
          <w:szCs w:val="24"/>
        </w:rPr>
        <w:br/>
        <w:t>aplikantów aplikacji prokuratorskiej</w:t>
      </w:r>
    </w:p>
    <w:p w:rsidR="00660FFD" w:rsidRPr="00FA4AAD" w:rsidRDefault="00660FFD" w:rsidP="00660FFD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A4AAD">
        <w:rPr>
          <w:rFonts w:ascii="Times New Roman" w:eastAsia="Calibri" w:hAnsi="Times New Roman" w:cs="Times New Roman"/>
          <w:b/>
          <w:i/>
          <w:sz w:val="24"/>
          <w:szCs w:val="24"/>
        </w:rPr>
        <w:t>Dotyczy: praktyk IX rocznika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aplikacji prokuratorskiej po V</w:t>
      </w:r>
      <w:r w:rsidRPr="00FA4AA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zjeździe</w:t>
      </w:r>
    </w:p>
    <w:p w:rsidR="00660FFD" w:rsidRPr="00FA4AAD" w:rsidRDefault="00660FFD" w:rsidP="00660FF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660FFD" w:rsidRPr="00FA4AAD" w:rsidRDefault="00660FFD" w:rsidP="00660F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AD">
        <w:rPr>
          <w:rFonts w:ascii="Times New Roman" w:eastAsia="Calibri" w:hAnsi="Times New Roman" w:cs="Times New Roman"/>
          <w:sz w:val="24"/>
          <w:szCs w:val="24"/>
        </w:rPr>
        <w:t xml:space="preserve">Na podstawie § 5 zarządzenia Dyrektora Krajowej Szkoły Sądownictwa i Prokuratury </w:t>
      </w:r>
      <w:r w:rsidRPr="00FA4AAD">
        <w:rPr>
          <w:rFonts w:ascii="Times New Roman" w:eastAsia="Calibri" w:hAnsi="Times New Roman" w:cs="Times New Roman"/>
          <w:sz w:val="24"/>
          <w:szCs w:val="24"/>
        </w:rPr>
        <w:br/>
        <w:t xml:space="preserve">w Krakowie Nr 131/2010 z dnia 19 listopada 2010 roku w sprawie szczegółowych zasad odbywania praktyki przez aplikantów aplikacji sędziowskiej, prokuratorskiej oraz ogólnej (tekst ujednolicony), uprzejmie przedstawiam szczegółowy zakres tematyczny, który winien być przedmiotem praktyk aplikantów aplikacji prokuratorskiej odbywanych od </w:t>
      </w:r>
      <w:r>
        <w:rPr>
          <w:rFonts w:ascii="Times New Roman" w:eastAsia="Calibri" w:hAnsi="Times New Roman" w:cs="Times New Roman"/>
          <w:sz w:val="24"/>
          <w:szCs w:val="24"/>
        </w:rPr>
        <w:t>16 lipca</w:t>
      </w:r>
      <w:r w:rsidRPr="00FA4AAD">
        <w:rPr>
          <w:rFonts w:ascii="Times New Roman" w:eastAsia="Calibri" w:hAnsi="Times New Roman" w:cs="Times New Roman"/>
          <w:sz w:val="24"/>
          <w:szCs w:val="24"/>
        </w:rPr>
        <w:t xml:space="preserve"> do </w:t>
      </w:r>
      <w:r w:rsidR="00D15070">
        <w:rPr>
          <w:rFonts w:ascii="Times New Roman" w:eastAsia="Calibri" w:hAnsi="Times New Roman" w:cs="Times New Roman"/>
          <w:sz w:val="24"/>
          <w:szCs w:val="24"/>
        </w:rPr>
        <w:br/>
        <w:t>10</w:t>
      </w:r>
      <w:r>
        <w:rPr>
          <w:rFonts w:ascii="Times New Roman" w:eastAsia="Calibri" w:hAnsi="Times New Roman" w:cs="Times New Roman"/>
          <w:sz w:val="24"/>
          <w:szCs w:val="24"/>
        </w:rPr>
        <w:t xml:space="preserve"> sierpnia</w:t>
      </w:r>
      <w:r w:rsidRPr="00FA4AAD">
        <w:rPr>
          <w:rFonts w:ascii="Times New Roman" w:eastAsia="Calibri" w:hAnsi="Times New Roman" w:cs="Times New Roman"/>
          <w:sz w:val="24"/>
          <w:szCs w:val="24"/>
        </w:rPr>
        <w:t xml:space="preserve"> 2018 roku w prokuraturach rejonowych. </w:t>
      </w:r>
    </w:p>
    <w:p w:rsidR="00660FFD" w:rsidRPr="00FA4AAD" w:rsidRDefault="00660FFD" w:rsidP="00660F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AD">
        <w:rPr>
          <w:rFonts w:ascii="Times New Roman" w:eastAsia="Calibri" w:hAnsi="Times New Roman" w:cs="Times New Roman"/>
          <w:sz w:val="24"/>
          <w:szCs w:val="24"/>
        </w:rPr>
        <w:t xml:space="preserve">Zasadniczym celem praktyk jest zaznajomienie aplikantów z czynnościami i metodyką pracy patrona oraz doskonalenie umiejętności wykorzystania wiedzy teoretycznej i znajomości orzecznictwa. Każdorazowo praktyka winna utrwalić wiedzę zdobytą podczas bezpośrednio poprzedzających ją zajęć w ramach zjazdu. </w:t>
      </w:r>
    </w:p>
    <w:p w:rsidR="00660FFD" w:rsidRPr="00FA4AAD" w:rsidRDefault="00660FFD" w:rsidP="00660F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Przedmiotem V</w:t>
      </w:r>
      <w:r w:rsidRPr="00FA4AAD">
        <w:rPr>
          <w:rFonts w:ascii="Times New Roman" w:eastAsia="Calibri" w:hAnsi="Times New Roman" w:cs="Times New Roman"/>
          <w:sz w:val="24"/>
          <w:szCs w:val="24"/>
        </w:rPr>
        <w:t xml:space="preserve"> zjazdu aplikacji prokuratorskiej trwającego w dniach od </w:t>
      </w:r>
      <w:r>
        <w:rPr>
          <w:rFonts w:ascii="Times New Roman" w:eastAsia="Calibri" w:hAnsi="Times New Roman" w:cs="Times New Roman"/>
          <w:sz w:val="24"/>
          <w:szCs w:val="24"/>
        </w:rPr>
        <w:t>9 do 13 lipca</w:t>
      </w:r>
      <w:r w:rsidRPr="00FA4AAD">
        <w:rPr>
          <w:rFonts w:ascii="Times New Roman" w:eastAsia="Calibri" w:hAnsi="Times New Roman" w:cs="Times New Roman"/>
          <w:sz w:val="24"/>
          <w:szCs w:val="24"/>
        </w:rPr>
        <w:t xml:space="preserve"> 2018 r. są:</w:t>
      </w:r>
    </w:p>
    <w:p w:rsidR="00660FFD" w:rsidRPr="00FA4AAD" w:rsidRDefault="00660FFD" w:rsidP="00660FF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Psychiatria sądowa z elementami psychologii sądowej</w:t>
      </w:r>
      <w:r w:rsidRPr="00FA4AA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struktura i funkcje psychiki człowieka; osobowość; psychopatologia ogólna i szczegółowa; opiniowanie sądowo – psychiatryczne, sądowo – psychologiczne i seksuologiczne; psychologiczne aspekty wiarygodności zeznań i wyjaśnień; formułowanie pytań do biegłych i merytoryczna ocena opinii.</w:t>
      </w:r>
    </w:p>
    <w:p w:rsidR="00660FFD" w:rsidRDefault="00660FFD" w:rsidP="00660FF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Kryminalistyka</w:t>
      </w:r>
      <w:r w:rsidRPr="00FA4AA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taktyka przesłuchania świadka i podejrzanego</w:t>
      </w:r>
      <w:r w:rsidRPr="00660FF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23E7C" w:rsidRPr="00660FFD" w:rsidRDefault="00323E7C" w:rsidP="00323E7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0FFD" w:rsidRPr="00985EB3" w:rsidRDefault="00660FFD" w:rsidP="00985E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FA4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Patroni praktyk winni zatem zadbać, aby aplikanci w pierwszej kolejności mieli możliwość zapoznania się z praktycznymi aspektami pracy prokuratora </w:t>
      </w:r>
      <w:r w:rsidRPr="00FA4A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zakresie objętym tematyką zjazdu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w szczególności </w:t>
      </w:r>
      <w:r w:rsidR="00985EB3" w:rsidRPr="00FA4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mieli możliwość </w:t>
      </w:r>
      <w:r w:rsidR="00985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zapoznania się </w:t>
      </w:r>
      <w:r w:rsidR="00985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czynnościami prokuratora w postępowaniu przygotowawczym związanymi </w:t>
      </w:r>
      <w:r w:rsidR="00985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procesowym zabezpieczeniem i wykorzystywaniem dokumentacji psychiatrycznej </w:t>
      </w:r>
      <w:r w:rsidR="00985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psychologicznej, z powołaniem biegłych lekarzy psychiatrów i seksuologów (ewentualnie też lekarzy innych specjalności – ar</w:t>
      </w:r>
      <w:r w:rsidR="007817C5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985EB3">
        <w:rPr>
          <w:rFonts w:ascii="Times New Roman" w:eastAsia="Times New Roman" w:hAnsi="Times New Roman" w:cs="Times New Roman"/>
          <w:sz w:val="24"/>
          <w:szCs w:val="24"/>
          <w:lang w:eastAsia="pl-PL"/>
        </w:rPr>
        <w:t>. 202 k.p.k.), sporządzaniem wniosku o obserwację psychiatryczną, a także z przeprowadzaniem czynności przesłuchania</w:t>
      </w:r>
      <w:r w:rsidR="00985EB3" w:rsidRPr="00FA4AA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.</w:t>
      </w:r>
    </w:p>
    <w:p w:rsidR="00725037" w:rsidRDefault="00725037" w:rsidP="00725037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5037" w:rsidRPr="00725037" w:rsidRDefault="00725037" w:rsidP="00725037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5037">
        <w:rPr>
          <w:rFonts w:ascii="Times New Roman" w:eastAsia="Times New Roman" w:hAnsi="Times New Roman" w:cs="Times New Roman"/>
          <w:sz w:val="24"/>
          <w:szCs w:val="24"/>
          <w:lang w:eastAsia="pl-PL"/>
        </w:rPr>
        <w:t>Aplikanci powinni także mieć możliwość utrwalenia umiejętności w zakresie formułowania pytań do biegłych oraz oceny prawidłowości pozyskanych opinii psychiatryczno-psychologicznych:</w:t>
      </w:r>
    </w:p>
    <w:p w:rsidR="00725037" w:rsidRPr="00725037" w:rsidRDefault="00725037" w:rsidP="0072503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5037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dotyczących poczytalności sprawcy czynu zabronionego (w tym opinie dotyczące niepoczytalności i poczytalności ograniczonej w stopniu znacznym),</w:t>
      </w:r>
    </w:p>
    <w:p w:rsidR="00725037" w:rsidRPr="00725037" w:rsidRDefault="00725037" w:rsidP="0072503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503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sprawach o zabójstwa, w tym dokonanych pod wpływem silnego wzburzenia usprawiedliwionego okolicznościami,</w:t>
      </w:r>
    </w:p>
    <w:p w:rsidR="00725037" w:rsidRPr="00725037" w:rsidRDefault="00725037" w:rsidP="0072503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5037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sprawców uzależnionych od substancji odurzających lub działających pod ich wpływem,</w:t>
      </w:r>
    </w:p>
    <w:p w:rsidR="00725037" w:rsidRPr="00725037" w:rsidRDefault="00725037" w:rsidP="0072503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5037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o przestępstwa przeciwko wolności seksualnej i obyczajności.</w:t>
      </w:r>
    </w:p>
    <w:p w:rsidR="00725037" w:rsidRPr="00725037" w:rsidRDefault="00725037" w:rsidP="00725037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5037" w:rsidRPr="00725037" w:rsidRDefault="00725037" w:rsidP="00725037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5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Nadto aplikantom należy umożliwić zapoznanie się z proceduralnymi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5037">
        <w:rPr>
          <w:rFonts w:ascii="Times New Roman" w:eastAsia="Times New Roman" w:hAnsi="Times New Roman" w:cs="Times New Roman"/>
          <w:sz w:val="24"/>
          <w:szCs w:val="24"/>
          <w:lang w:eastAsia="pl-PL"/>
        </w:rPr>
        <w:t>i praktyczno-organizacyjnymi aspektami:</w:t>
      </w:r>
    </w:p>
    <w:p w:rsidR="00725037" w:rsidRPr="00725037" w:rsidRDefault="00725037" w:rsidP="0072503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5037">
        <w:rPr>
          <w:rFonts w:ascii="Times New Roman" w:eastAsia="Times New Roman" w:hAnsi="Times New Roman" w:cs="Times New Roman"/>
          <w:sz w:val="24"/>
          <w:szCs w:val="24"/>
          <w:lang w:eastAsia="pl-PL"/>
        </w:rPr>
        <w:t>obserwacji psychiatrycznej w zakładzie leczniczym,</w:t>
      </w:r>
    </w:p>
    <w:p w:rsidR="00725037" w:rsidRPr="00725037" w:rsidRDefault="00725037" w:rsidP="0072503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5037">
        <w:rPr>
          <w:rFonts w:ascii="Times New Roman" w:eastAsia="Times New Roman" w:hAnsi="Times New Roman" w:cs="Times New Roman"/>
          <w:sz w:val="24"/>
          <w:szCs w:val="24"/>
          <w:lang w:eastAsia="pl-PL"/>
        </w:rPr>
        <w:t>umieszczania sprawcy na wniosek prokuratora w zakładzie psychiatrycznym,</w:t>
      </w:r>
    </w:p>
    <w:p w:rsidR="00725037" w:rsidRPr="00725037" w:rsidRDefault="00725037" w:rsidP="0072503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5037">
        <w:rPr>
          <w:rFonts w:ascii="Times New Roman" w:eastAsia="Times New Roman" w:hAnsi="Times New Roman" w:cs="Times New Roman"/>
          <w:sz w:val="24"/>
          <w:szCs w:val="24"/>
          <w:lang w:eastAsia="pl-PL"/>
        </w:rPr>
        <w:t>badań psychologicznych oskarżonego,</w:t>
      </w:r>
    </w:p>
    <w:p w:rsidR="00725037" w:rsidRPr="00725037" w:rsidRDefault="00725037" w:rsidP="0072503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5037"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przesłuchania małoletniego w charakterze świadka,</w:t>
      </w:r>
    </w:p>
    <w:p w:rsidR="00725037" w:rsidRPr="00725037" w:rsidRDefault="00725037" w:rsidP="0072503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5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przesłuchania świadka w razie wątpliwości co do jego stanu psychicznego, rozwoju umysłowego, zdolności </w:t>
      </w:r>
      <w:r w:rsidR="007817C5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725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postrzegania lub odtwarzania </w:t>
      </w:r>
      <w:r w:rsidR="007817C5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bookmarkStart w:id="0" w:name="_GoBack"/>
      <w:bookmarkEnd w:id="0"/>
      <w:r w:rsidRPr="00725037">
        <w:rPr>
          <w:rFonts w:ascii="Times New Roman" w:eastAsia="Times New Roman" w:hAnsi="Times New Roman" w:cs="Times New Roman"/>
          <w:sz w:val="24"/>
          <w:szCs w:val="24"/>
          <w:lang w:eastAsia="pl-PL"/>
        </w:rPr>
        <w:t>postrzeżeń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5F5C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obecności biegłego psychologa</w:t>
      </w:r>
      <w:r w:rsidRPr="0072503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25037" w:rsidRPr="00725037" w:rsidRDefault="00725037" w:rsidP="00725037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0FFD" w:rsidRPr="00FA4AAD" w:rsidRDefault="005F5C80" w:rsidP="00985EB3">
      <w:pPr>
        <w:spacing w:after="0" w:line="240" w:lineRule="auto"/>
        <w:ind w:left="57" w:firstLine="30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Ważnym</w:t>
      </w:r>
      <w:r w:rsidR="00725037" w:rsidRPr="00725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jest, aby aplikanci zapoznawali się z powyższą problematyką również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25037" w:rsidRPr="00725037">
        <w:rPr>
          <w:rFonts w:ascii="Times New Roman" w:eastAsia="Times New Roman" w:hAnsi="Times New Roman" w:cs="Times New Roman"/>
          <w:sz w:val="24"/>
          <w:szCs w:val="24"/>
          <w:lang w:eastAsia="pl-PL"/>
        </w:rPr>
        <w:t>w oparciu o analizę akt spraw</w:t>
      </w:r>
      <w:r w:rsidR="00725037">
        <w:rPr>
          <w:rFonts w:ascii="Times New Roman" w:eastAsia="Times New Roman" w:hAnsi="Times New Roman" w:cs="Times New Roman"/>
          <w:sz w:val="24"/>
          <w:szCs w:val="24"/>
          <w:lang w:eastAsia="pl-PL"/>
        </w:rPr>
        <w:t>, a także uczestnictwo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przesłuchaniach podejrzanych lub świadków</w:t>
      </w:r>
      <w:r w:rsidR="00985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(małoletnich lub co do których istnieją wątpliwości co do prawidłowości czynionych przez nich spostrzeżeń i ich odtwarzania)</w:t>
      </w:r>
      <w:r w:rsidR="00725037" w:rsidRPr="00725037">
        <w:rPr>
          <w:rFonts w:ascii="Times New Roman" w:eastAsia="Times New Roman" w:hAnsi="Times New Roman" w:cs="Times New Roman"/>
          <w:sz w:val="24"/>
          <w:szCs w:val="24"/>
          <w:lang w:eastAsia="pl-PL"/>
        </w:rPr>
        <w:t>, choćby w roli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rotokolanta</w:t>
      </w:r>
      <w:r w:rsidR="00725037" w:rsidRPr="00725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trakcie szkolenia należy także zwracać uwagę aplikantom na praktyczne problemy związane </w:t>
      </w:r>
      <w:r w:rsidR="00985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25037" w:rsidRPr="00725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opiniowaniem w tych sprawach, w aspekcie prawidłowości sporządzania postanowień </w:t>
      </w:r>
      <w:r w:rsidR="00985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25037" w:rsidRPr="00725037">
        <w:rPr>
          <w:rFonts w:ascii="Times New Roman" w:eastAsia="Times New Roman" w:hAnsi="Times New Roman" w:cs="Times New Roman"/>
          <w:sz w:val="24"/>
          <w:szCs w:val="24"/>
          <w:lang w:eastAsia="pl-PL"/>
        </w:rPr>
        <w:t>o powołaniu biegłych, oceny i dowodowego wykorzystania opinii (w tym opinii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kompleksowych, alternatywnych</w:t>
      </w:r>
      <w:r w:rsidR="00725037" w:rsidRPr="00725037">
        <w:rPr>
          <w:rFonts w:ascii="Times New Roman" w:eastAsia="Times New Roman" w:hAnsi="Times New Roman" w:cs="Times New Roman"/>
          <w:sz w:val="24"/>
          <w:szCs w:val="24"/>
          <w:lang w:eastAsia="pl-PL"/>
        </w:rPr>
        <w:t>). Aplikanci winni nadto posiąść umiejętność dostrzegania błędów w sporządzonych opiniach.</w:t>
      </w:r>
    </w:p>
    <w:p w:rsidR="00660FFD" w:rsidRPr="00FA4AAD" w:rsidRDefault="005F5C80" w:rsidP="00985E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</w:t>
      </w:r>
      <w:r w:rsidR="00660FFD" w:rsidRPr="00FA4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ocenie przez patronów praktyk prac wykonywanych przez aplikantów, zwłaszcza projektów sporządzanych przez nich decyzji,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istotnym </w:t>
      </w:r>
      <w:r w:rsidR="00660FFD" w:rsidRPr="00FA4AAD">
        <w:rPr>
          <w:rFonts w:ascii="Times New Roman" w:eastAsia="Times New Roman" w:hAnsi="Times New Roman" w:cs="Times New Roman"/>
          <w:sz w:val="24"/>
          <w:szCs w:val="24"/>
          <w:lang w:eastAsia="pl-PL"/>
        </w:rPr>
        <w:t>jest zwracanie uwagi nie tylko na merytoryczną trafność i formalną poprawność samego rozstrzygnięcia, ale i rodzaj użytej argumentacji, logikę i poprawność językową.</w:t>
      </w:r>
      <w:r w:rsidR="00660FFD" w:rsidRPr="00FA4AA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  <w:r w:rsidR="00660FFD" w:rsidRPr="00FA4AAD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przedmiotowej praktyki jest bowiem również wykształcenie u aplikantów aplikacji prokuratorskiej umiejętności właściwej oceny prawnej decyzji podejmowanych w toku postępowania przygotowawczego, obrony własnego stanowiska w sprawie oraz zastosowania prawidłowej argumentacji.</w:t>
      </w:r>
    </w:p>
    <w:p w:rsidR="00660FFD" w:rsidRPr="00FA4AAD" w:rsidRDefault="00660FFD" w:rsidP="00660F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AD">
        <w:rPr>
          <w:rFonts w:ascii="Times New Roman" w:eastAsia="Calibri" w:hAnsi="Times New Roman" w:cs="Times New Roman"/>
          <w:sz w:val="24"/>
          <w:szCs w:val="24"/>
        </w:rPr>
        <w:t>Powyższe nie wyklucza możliwości powierzania aplikantom również innych zadań wynikających z normalnego toku pracy prokuratorskiej, zwłaszcza takich, z którymi dotychczas jeszcze się nie zetknęli lub, w których nie uczestniczyli.</w:t>
      </w:r>
    </w:p>
    <w:p w:rsidR="00660FFD" w:rsidRPr="00FA4AAD" w:rsidRDefault="00660FFD" w:rsidP="00660F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0FFD" w:rsidRPr="00FA4AAD" w:rsidRDefault="00660FFD" w:rsidP="00660F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Uprzejmie informuję, że przedmiotem sprawdzianu, który aplikanci będą pisać po odbyciu praktyk po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 zjeździe (na początku </w:t>
      </w:r>
      <w:r w:rsidRPr="00FA4AAD"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 w:rsidR="00276E4C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FA4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zjazdu) będzie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6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projektu postanowienia o powołaniu biegłych lekarzy psychiatrów (lub biegłych lekarzy psychiatrów </w:t>
      </w:r>
      <w:r w:rsidR="00276E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seksuologa) wraz z uzasadnieniem albo wniosku o obserwację w zakładzie leczniczym</w:t>
      </w:r>
      <w:r w:rsidRPr="00FA4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60FFD" w:rsidRPr="00FA4AAD" w:rsidRDefault="00660FFD" w:rsidP="00985E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AAD">
        <w:rPr>
          <w:rFonts w:ascii="Times New Roman" w:eastAsia="Times New Roman" w:hAnsi="Times New Roman" w:cs="Times New Roman"/>
          <w:sz w:val="24"/>
          <w:szCs w:val="24"/>
          <w:lang w:eastAsia="pl-PL"/>
        </w:rPr>
        <w:t>Dlatego ważnym jest, aby aplikanci podczas praktyk opanowali tę umiejętność w jak najwyższym stopniu.</w:t>
      </w:r>
    </w:p>
    <w:p w:rsidR="00660FFD" w:rsidRPr="00FA4AAD" w:rsidRDefault="00660FFD" w:rsidP="00660FFD">
      <w:pPr>
        <w:spacing w:after="0" w:line="240" w:lineRule="auto"/>
        <w:ind w:firstLine="360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660FFD" w:rsidRPr="00FA4AAD" w:rsidRDefault="00660FFD" w:rsidP="00660FFD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FA4AAD">
        <w:rPr>
          <w:rFonts w:ascii="Garamond" w:eastAsia="Calibri" w:hAnsi="Garamond" w:cs="Times New Roman"/>
          <w:b/>
          <w:sz w:val="24"/>
          <w:szCs w:val="24"/>
        </w:rPr>
        <w:t xml:space="preserve">                                         Kierownik</w:t>
      </w:r>
    </w:p>
    <w:p w:rsidR="00660FFD" w:rsidRPr="00FA4AAD" w:rsidRDefault="00660FFD" w:rsidP="00660FFD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FA4AAD">
        <w:rPr>
          <w:rFonts w:ascii="Garamond" w:eastAsia="Calibri" w:hAnsi="Garamond" w:cs="Times New Roman"/>
          <w:b/>
          <w:sz w:val="24"/>
          <w:szCs w:val="24"/>
        </w:rPr>
        <w:t xml:space="preserve">                                             Działu Dydaktycznego</w:t>
      </w:r>
    </w:p>
    <w:p w:rsidR="00660FFD" w:rsidRPr="00FA4AAD" w:rsidRDefault="00660FFD" w:rsidP="00660FFD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FA4AAD">
        <w:rPr>
          <w:rFonts w:ascii="Garamond" w:eastAsia="Calibri" w:hAnsi="Garamond" w:cs="Times New Roman"/>
          <w:b/>
          <w:sz w:val="24"/>
          <w:szCs w:val="24"/>
        </w:rPr>
        <w:t xml:space="preserve">                                            w Ośrodku Aplikacji Prokuratorskiej</w:t>
      </w:r>
    </w:p>
    <w:p w:rsidR="00660FFD" w:rsidRPr="00FA4AAD" w:rsidRDefault="00660FFD" w:rsidP="00660FFD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FA4AAD">
        <w:rPr>
          <w:rFonts w:ascii="Garamond" w:eastAsia="Calibri" w:hAnsi="Garamond" w:cs="Times New Roman"/>
          <w:b/>
          <w:sz w:val="24"/>
          <w:szCs w:val="24"/>
        </w:rPr>
        <w:t xml:space="preserve">                                           Krajowej Szkoły Sądownictwa i Prokuratury</w:t>
      </w:r>
    </w:p>
    <w:p w:rsidR="00660FFD" w:rsidRPr="00FA4AAD" w:rsidRDefault="00660FFD" w:rsidP="00660FFD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</w:p>
    <w:p w:rsidR="00660FFD" w:rsidRPr="00FA4AAD" w:rsidRDefault="00660FFD" w:rsidP="00660FFD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FA4AAD">
        <w:rPr>
          <w:rFonts w:ascii="Garamond" w:eastAsia="Calibri" w:hAnsi="Garamond" w:cs="Times New Roman"/>
          <w:b/>
          <w:sz w:val="24"/>
          <w:szCs w:val="24"/>
        </w:rPr>
        <w:t xml:space="preserve">                                          Beata Padło</w:t>
      </w:r>
    </w:p>
    <w:p w:rsidR="000B4076" w:rsidRDefault="00660FFD" w:rsidP="00985EB3">
      <w:pPr>
        <w:spacing w:after="0" w:line="240" w:lineRule="auto"/>
        <w:jc w:val="center"/>
      </w:pPr>
      <w:r w:rsidRPr="00FA4AAD">
        <w:rPr>
          <w:rFonts w:ascii="Garamond" w:eastAsia="Calibri" w:hAnsi="Garamond" w:cs="Times New Roman"/>
          <w:sz w:val="24"/>
          <w:szCs w:val="24"/>
        </w:rPr>
        <w:t xml:space="preserve">                                         Prokurator</w:t>
      </w:r>
    </w:p>
    <w:sectPr w:rsidR="000B4076" w:rsidSect="00F129C1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F20" w:rsidRDefault="00FB4F20">
      <w:pPr>
        <w:spacing w:after="0" w:line="240" w:lineRule="auto"/>
      </w:pPr>
      <w:r>
        <w:separator/>
      </w:r>
    </w:p>
  </w:endnote>
  <w:endnote w:type="continuationSeparator" w:id="0">
    <w:p w:rsidR="00FB4F20" w:rsidRDefault="00FB4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B0502040204020203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F20" w:rsidRDefault="00FB4F20">
      <w:pPr>
        <w:spacing w:after="0" w:line="240" w:lineRule="auto"/>
      </w:pPr>
      <w:r>
        <w:separator/>
      </w:r>
    </w:p>
  </w:footnote>
  <w:footnote w:type="continuationSeparator" w:id="0">
    <w:p w:rsidR="00FB4F20" w:rsidRDefault="00FB4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C36" w:rsidRDefault="00985EB3">
    <w:pPr>
      <w:pStyle w:val="Nagwek"/>
      <w:jc w:val="center"/>
    </w:pPr>
    <w:r>
      <w:fldChar w:fldCharType="begin"/>
    </w:r>
    <w:r>
      <w:instrText>PAGE   \* MERGEFORMAT</w:instrText>
    </w:r>
    <w:r>
      <w:fldChar w:fldCharType="separate"/>
    </w:r>
    <w:r w:rsidR="007817C5">
      <w:rPr>
        <w:noProof/>
      </w:rPr>
      <w:t>2</w:t>
    </w:r>
    <w:r>
      <w:fldChar w:fldCharType="end"/>
    </w:r>
  </w:p>
  <w:p w:rsidR="00014C36" w:rsidRDefault="00FB4F2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921" w:rsidRPr="00162921" w:rsidRDefault="00985EB3" w:rsidP="00162921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eastAsia="Times New Roman" w:hAnsi="Century Gothic" w:cs="Shruti"/>
        <w:spacing w:val="20"/>
        <w:sz w:val="30"/>
        <w:szCs w:val="30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8C48114" wp14:editId="1598AE64">
          <wp:simplePos x="0" y="0"/>
          <wp:positionH relativeFrom="column">
            <wp:posOffset>621665</wp:posOffset>
          </wp:positionH>
          <wp:positionV relativeFrom="paragraph">
            <wp:posOffset>-42545</wp:posOffset>
          </wp:positionV>
          <wp:extent cx="501015" cy="4768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2921">
      <w:rPr>
        <w:rFonts w:ascii="Century Gothic" w:eastAsia="Times New Roman" w:hAnsi="Century Gothic" w:cs="Shruti"/>
        <w:spacing w:val="20"/>
        <w:sz w:val="30"/>
        <w:szCs w:val="30"/>
        <w:lang w:eastAsia="pl-PL"/>
      </w:rPr>
      <w:t xml:space="preserve"> </w:t>
    </w:r>
  </w:p>
  <w:p w:rsidR="00162921" w:rsidRPr="00162921" w:rsidRDefault="00FB4F20" w:rsidP="00162921">
    <w:pPr>
      <w:tabs>
        <w:tab w:val="center" w:pos="4536"/>
        <w:tab w:val="right" w:pos="9072"/>
      </w:tabs>
      <w:spacing w:after="0" w:line="240" w:lineRule="auto"/>
      <w:ind w:right="4959"/>
      <w:jc w:val="center"/>
      <w:rPr>
        <w:rFonts w:ascii="Times New Roman" w:eastAsia="Times New Roman" w:hAnsi="Times New Roman"/>
        <w:b/>
        <w:sz w:val="24"/>
        <w:szCs w:val="24"/>
        <w:lang w:eastAsia="pl-PL"/>
      </w:rPr>
    </w:pPr>
  </w:p>
  <w:p w:rsidR="00162921" w:rsidRPr="00162921" w:rsidRDefault="00FB4F20" w:rsidP="00162921">
    <w:pPr>
      <w:tabs>
        <w:tab w:val="center" w:pos="4536"/>
        <w:tab w:val="right" w:pos="9072"/>
      </w:tabs>
      <w:spacing w:after="0" w:line="240" w:lineRule="auto"/>
      <w:ind w:left="-851" w:right="5526"/>
      <w:jc w:val="center"/>
      <w:rPr>
        <w:rFonts w:ascii="Times New Roman" w:eastAsia="Times New Roman" w:hAnsi="Times New Roman"/>
        <w:b/>
        <w:sz w:val="8"/>
        <w:szCs w:val="8"/>
        <w:lang w:eastAsia="pl-PL"/>
      </w:rPr>
    </w:pPr>
  </w:p>
  <w:p w:rsidR="00162921" w:rsidRPr="00162921" w:rsidRDefault="00985EB3" w:rsidP="00162921">
    <w:pPr>
      <w:tabs>
        <w:tab w:val="center" w:pos="4536"/>
        <w:tab w:val="right" w:pos="9072"/>
      </w:tabs>
      <w:spacing w:after="0" w:line="240" w:lineRule="auto"/>
      <w:ind w:left="-851" w:right="5526"/>
      <w:jc w:val="center"/>
      <w:rPr>
        <w:rFonts w:ascii="Times New Roman" w:eastAsia="Times New Roman" w:hAnsi="Times New Roman"/>
        <w:b/>
        <w:sz w:val="24"/>
        <w:szCs w:val="24"/>
        <w:lang w:eastAsia="pl-PL"/>
      </w:rPr>
    </w:pPr>
    <w:r w:rsidRPr="00162921">
      <w:rPr>
        <w:rFonts w:ascii="Times New Roman" w:eastAsia="Times New Roman" w:hAnsi="Times New Roman"/>
        <w:b/>
        <w:sz w:val="24"/>
        <w:szCs w:val="24"/>
        <w:lang w:eastAsia="pl-PL"/>
      </w:rPr>
      <w:t>KRAJOWA SZKOŁA</w:t>
    </w:r>
  </w:p>
  <w:p w:rsidR="00162921" w:rsidRPr="00162921" w:rsidRDefault="00985EB3" w:rsidP="00162921">
    <w:pPr>
      <w:tabs>
        <w:tab w:val="center" w:pos="4536"/>
        <w:tab w:val="right" w:pos="9072"/>
      </w:tabs>
      <w:spacing w:after="0" w:line="240" w:lineRule="auto"/>
      <w:ind w:left="-851" w:right="5526"/>
      <w:jc w:val="center"/>
      <w:rPr>
        <w:rFonts w:ascii="Times New Roman" w:eastAsia="Times New Roman" w:hAnsi="Times New Roman"/>
        <w:b/>
        <w:sz w:val="24"/>
        <w:szCs w:val="24"/>
        <w:lang w:eastAsia="pl-PL"/>
      </w:rPr>
    </w:pPr>
    <w:r w:rsidRPr="00162921">
      <w:rPr>
        <w:rFonts w:ascii="Times New Roman" w:eastAsia="Times New Roman" w:hAnsi="Times New Roman"/>
        <w:b/>
        <w:sz w:val="24"/>
        <w:szCs w:val="24"/>
        <w:lang w:eastAsia="pl-PL"/>
      </w:rPr>
      <w:t>SĄDOWNICTWA I PROKURATURY</w:t>
    </w:r>
  </w:p>
  <w:p w:rsidR="00162921" w:rsidRDefault="00FB4F20">
    <w:pPr>
      <w:pStyle w:val="Nagwek"/>
    </w:pPr>
  </w:p>
  <w:p w:rsidR="00162921" w:rsidRDefault="00FB4F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02C54"/>
    <w:multiLevelType w:val="hybridMultilevel"/>
    <w:tmpl w:val="30D85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C0A07"/>
    <w:multiLevelType w:val="hybridMultilevel"/>
    <w:tmpl w:val="A24AA248"/>
    <w:lvl w:ilvl="0" w:tplc="0415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">
    <w:nsid w:val="6FBB2AC2"/>
    <w:multiLevelType w:val="hybridMultilevel"/>
    <w:tmpl w:val="23721CD0"/>
    <w:lvl w:ilvl="0" w:tplc="0415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">
    <w:nsid w:val="757B482B"/>
    <w:multiLevelType w:val="hybridMultilevel"/>
    <w:tmpl w:val="19FC2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FFD"/>
    <w:rsid w:val="000B4076"/>
    <w:rsid w:val="00276E4C"/>
    <w:rsid w:val="00323E7C"/>
    <w:rsid w:val="005F5C80"/>
    <w:rsid w:val="00660FFD"/>
    <w:rsid w:val="00725037"/>
    <w:rsid w:val="007817C5"/>
    <w:rsid w:val="00985EB3"/>
    <w:rsid w:val="00D15070"/>
    <w:rsid w:val="00E371D9"/>
    <w:rsid w:val="00FB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F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0FF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60FFD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60F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F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0FF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60FFD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60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794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Marta Zin</cp:lastModifiedBy>
  <cp:revision>5</cp:revision>
  <dcterms:created xsi:type="dcterms:W3CDTF">2018-05-24T08:17:00Z</dcterms:created>
  <dcterms:modified xsi:type="dcterms:W3CDTF">2018-05-25T08:28:00Z</dcterms:modified>
</cp:coreProperties>
</file>